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46432A"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#86</w:t>
      </w:r>
      <w:r>
        <w:rPr>
          <w:rFonts w:ascii="Arial" w:hAnsi="Arial"/>
          <w:b/>
          <w:sz w:val="24"/>
          <w:szCs w:val="24"/>
          <w:lang w:eastAsia="zh-CN"/>
        </w:rPr>
        <w:tab/>
      </w:r>
      <w:r w:rsidR="00F94FD7" w:rsidRPr="00165ED6">
        <w:rPr>
          <w:rFonts w:ascii="Arial" w:hAnsi="Arial"/>
          <w:b/>
          <w:sz w:val="24"/>
          <w:szCs w:val="24"/>
          <w:lang w:eastAsia="zh-CN"/>
        </w:rPr>
        <w:t xml:space="preserve">                            </w:t>
      </w:r>
      <w:r w:rsidR="00095962">
        <w:rPr>
          <w:rFonts w:ascii="Arial" w:hAnsi="Arial"/>
          <w:b/>
          <w:sz w:val="24"/>
          <w:szCs w:val="24"/>
          <w:lang w:eastAsia="zh-CN"/>
        </w:rPr>
        <w:t xml:space="preserve">                      </w:t>
      </w:r>
      <w:r w:rsidR="00D53064">
        <w:rPr>
          <w:rFonts w:ascii="Arial" w:hAnsi="Arial" w:cs="Arial"/>
          <w:b/>
          <w:sz w:val="24"/>
          <w:szCs w:val="24"/>
        </w:rPr>
        <w:t>R4-1</w:t>
      </w:r>
      <w:r w:rsidR="00095962">
        <w:rPr>
          <w:rFonts w:ascii="Arial" w:hAnsi="Arial" w:cs="Arial"/>
          <w:b/>
          <w:sz w:val="24"/>
          <w:szCs w:val="24"/>
        </w:rPr>
        <w:t>8</w:t>
      </w:r>
      <w:r w:rsidR="00490571">
        <w:rPr>
          <w:rFonts w:ascii="Arial" w:hAnsi="Arial" w:cs="Arial"/>
          <w:b/>
          <w:sz w:val="24"/>
          <w:szCs w:val="24"/>
        </w:rPr>
        <w:t>0</w:t>
      </w:r>
      <w:r w:rsidR="00497490" w:rsidRPr="00497490">
        <w:rPr>
          <w:rFonts w:ascii="Arial" w:hAnsi="Arial" w:cs="Arial"/>
          <w:b/>
          <w:sz w:val="24"/>
          <w:szCs w:val="24"/>
        </w:rPr>
        <w:t>2868</w:t>
      </w:r>
    </w:p>
    <w:p w:rsidR="00F51BE1" w:rsidRDefault="0046432A" w:rsidP="00165ED6">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Athens</w:t>
      </w:r>
      <w:r w:rsidR="00571C18" w:rsidRPr="00571C18">
        <w:rPr>
          <w:rFonts w:ascii="Arial" w:hAnsi="Arial"/>
          <w:b/>
          <w:sz w:val="24"/>
          <w:szCs w:val="24"/>
          <w:lang w:eastAsia="zh-CN"/>
        </w:rPr>
        <w:t xml:space="preserve">, </w:t>
      </w:r>
      <w:r>
        <w:rPr>
          <w:rFonts w:ascii="Arial" w:hAnsi="Arial"/>
          <w:b/>
          <w:sz w:val="24"/>
          <w:szCs w:val="24"/>
          <w:lang w:eastAsia="zh-CN"/>
        </w:rPr>
        <w:t>Greece</w:t>
      </w:r>
      <w:r w:rsidR="00571C18" w:rsidRPr="00571C18">
        <w:rPr>
          <w:rFonts w:ascii="Arial" w:hAnsi="Arial"/>
          <w:b/>
          <w:sz w:val="24"/>
          <w:szCs w:val="24"/>
          <w:lang w:eastAsia="zh-CN"/>
        </w:rPr>
        <w:t xml:space="preserve"> </w:t>
      </w:r>
      <w:r w:rsidR="00095962">
        <w:rPr>
          <w:rFonts w:ascii="Arial" w:hAnsi="Arial"/>
          <w:b/>
          <w:sz w:val="24"/>
          <w:szCs w:val="24"/>
          <w:lang w:eastAsia="zh-CN"/>
        </w:rPr>
        <w:t>26</w:t>
      </w:r>
      <w:r w:rsidR="004C5B05" w:rsidRPr="004C5B05">
        <w:rPr>
          <w:rFonts w:ascii="Arial" w:hAnsi="Arial"/>
          <w:b/>
          <w:sz w:val="24"/>
          <w:szCs w:val="24"/>
          <w:lang w:eastAsia="zh-CN"/>
        </w:rPr>
        <w:t xml:space="preserve"> </w:t>
      </w:r>
      <w:r>
        <w:rPr>
          <w:rFonts w:ascii="Arial" w:hAnsi="Arial"/>
          <w:b/>
          <w:sz w:val="24"/>
          <w:szCs w:val="24"/>
          <w:lang w:eastAsia="zh-CN"/>
        </w:rPr>
        <w:t>February – 2 March</w:t>
      </w:r>
      <w:r w:rsidR="00095962">
        <w:rPr>
          <w:rFonts w:ascii="Arial" w:hAnsi="Arial"/>
          <w:b/>
          <w:sz w:val="24"/>
          <w:szCs w:val="24"/>
          <w:lang w:eastAsia="zh-CN"/>
        </w:rPr>
        <w:t xml:space="preserve">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5C1EFB">
        <w:rPr>
          <w:rFonts w:ascii="Arial" w:hAnsi="Arial" w:cs="Arial"/>
          <w:sz w:val="22"/>
          <w:szCs w:val="22"/>
          <w:lang w:val="en-US"/>
        </w:rPr>
        <w:t>UE Spherical coverage at</w:t>
      </w:r>
      <w:r w:rsidR="005C1EFB" w:rsidRPr="00FA4604">
        <w:rPr>
          <w:rFonts w:ascii="Arial" w:hAnsi="Arial" w:cs="Arial"/>
          <w:sz w:val="22"/>
          <w:szCs w:val="22"/>
          <w:lang w:val="en-US"/>
        </w:rPr>
        <w:t xml:space="preserve">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ED6FF9">
        <w:rPr>
          <w:rFonts w:ascii="Arial" w:hAnsi="Arial" w:cs="Arial"/>
          <w:sz w:val="22"/>
          <w:szCs w:val="22"/>
          <w:lang w:val="en-US"/>
        </w:rPr>
        <w:t>7.4.9.3</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4838B0" w:rsidRDefault="00A6239C" w:rsidP="00545A8B">
      <w:pPr>
        <w:pStyle w:val="BodyText"/>
        <w:rPr>
          <w:lang w:val="en-US"/>
        </w:rPr>
      </w:pPr>
      <w:r>
        <w:rPr>
          <w:lang w:val="en-US"/>
        </w:rPr>
        <w:t xml:space="preserve">The impact </w:t>
      </w:r>
      <w:r w:rsidR="004838B0">
        <w:rPr>
          <w:lang w:val="en-US"/>
        </w:rPr>
        <w:t xml:space="preserve">on spherical coverage </w:t>
      </w:r>
      <w:r>
        <w:rPr>
          <w:lang w:val="en-US"/>
        </w:rPr>
        <w:t>of a realistic design has been d</w:t>
      </w:r>
      <w:r w:rsidR="00015A17">
        <w:rPr>
          <w:lang w:val="en-US"/>
        </w:rPr>
        <w:t>iscussed for several meetings. In RAN4-AH-1801 in San Diego d</w:t>
      </w:r>
      <w:r>
        <w:rPr>
          <w:lang w:val="en-US"/>
        </w:rPr>
        <w:t>etailed simulation assumptions</w:t>
      </w:r>
      <w:r w:rsidR="003F699A">
        <w:rPr>
          <w:lang w:val="en-US"/>
        </w:rPr>
        <w:t xml:space="preserve"> were </w:t>
      </w:r>
      <w:r w:rsidR="00015A17">
        <w:rPr>
          <w:lang w:val="en-US"/>
        </w:rPr>
        <w:t>agreed in</w:t>
      </w:r>
      <w:r w:rsidR="004838B0">
        <w:rPr>
          <w:lang w:val="en-US"/>
        </w:rPr>
        <w:t xml:space="preserve"> WF on spherical coverage</w:t>
      </w:r>
      <w:r w:rsidR="00001B80">
        <w:rPr>
          <w:lang w:val="en-US"/>
        </w:rPr>
        <w:t xml:space="preserve"> </w:t>
      </w:r>
      <w:r w:rsidR="00001B80">
        <w:rPr>
          <w:lang w:val="en-US"/>
        </w:rPr>
        <w:fldChar w:fldCharType="begin"/>
      </w:r>
      <w:r w:rsidR="00001B80">
        <w:rPr>
          <w:lang w:val="en-US"/>
        </w:rPr>
        <w:instrText xml:space="preserve"> REF _Ref506302287 \r \h </w:instrText>
      </w:r>
      <w:r w:rsidR="00001B80">
        <w:rPr>
          <w:lang w:val="en-US"/>
        </w:rPr>
      </w:r>
      <w:r w:rsidR="00001B80">
        <w:rPr>
          <w:lang w:val="en-US"/>
        </w:rPr>
        <w:fldChar w:fldCharType="separate"/>
      </w:r>
      <w:r w:rsidR="003A6473">
        <w:rPr>
          <w:lang w:val="en-US"/>
        </w:rPr>
        <w:t>[1]</w:t>
      </w:r>
      <w:r w:rsidR="00001B80">
        <w:rPr>
          <w:lang w:val="en-US"/>
        </w:rPr>
        <w:fldChar w:fldCharType="end"/>
      </w:r>
      <w:r w:rsidR="008C43DC">
        <w:rPr>
          <w:lang w:val="en-US"/>
        </w:rPr>
        <w:t xml:space="preserve">. </w:t>
      </w:r>
      <w:r w:rsidR="006C7CF9">
        <w:rPr>
          <w:lang w:val="en-US"/>
        </w:rPr>
        <w:t xml:space="preserve">This agreement was an update on a similar WF </w:t>
      </w:r>
      <w:r w:rsidR="006C7CF9">
        <w:rPr>
          <w:lang w:val="en-US"/>
        </w:rPr>
        <w:fldChar w:fldCharType="begin"/>
      </w:r>
      <w:r w:rsidR="006C7CF9">
        <w:rPr>
          <w:lang w:val="en-US"/>
        </w:rPr>
        <w:instrText xml:space="preserve"> REF _Ref506543408 \r \h </w:instrText>
      </w:r>
      <w:r w:rsidR="006C7CF9">
        <w:rPr>
          <w:lang w:val="en-US"/>
        </w:rPr>
      </w:r>
      <w:r w:rsidR="006C7CF9">
        <w:rPr>
          <w:lang w:val="en-US"/>
        </w:rPr>
        <w:fldChar w:fldCharType="separate"/>
      </w:r>
      <w:r w:rsidR="003A6473">
        <w:rPr>
          <w:lang w:val="en-US"/>
        </w:rPr>
        <w:t>[2]</w:t>
      </w:r>
      <w:r w:rsidR="006C7CF9">
        <w:rPr>
          <w:lang w:val="en-US"/>
        </w:rPr>
        <w:fldChar w:fldCharType="end"/>
      </w:r>
      <w:r w:rsidR="006C7CF9">
        <w:rPr>
          <w:lang w:val="en-US"/>
        </w:rPr>
        <w:t xml:space="preserve"> from RAN4 #85 in Reno. </w:t>
      </w:r>
      <w:r w:rsidR="008C43DC">
        <w:rPr>
          <w:lang w:val="en-US"/>
        </w:rPr>
        <w:t>Another</w:t>
      </w:r>
      <w:r w:rsidR="004838B0">
        <w:rPr>
          <w:lang w:val="en-US"/>
        </w:rPr>
        <w:t xml:space="preserve"> WF on power class was agreed in</w:t>
      </w:r>
      <w:r w:rsidR="00001B80">
        <w:rPr>
          <w:lang w:val="en-US"/>
        </w:rPr>
        <w:t xml:space="preserve"> </w:t>
      </w:r>
      <w:r w:rsidR="00001B80">
        <w:rPr>
          <w:lang w:val="en-US"/>
        </w:rPr>
        <w:fldChar w:fldCharType="begin"/>
      </w:r>
      <w:r w:rsidR="00001B80">
        <w:rPr>
          <w:lang w:val="en-US"/>
        </w:rPr>
        <w:instrText xml:space="preserve"> REF _Ref506302304 \r \h </w:instrText>
      </w:r>
      <w:r w:rsidR="00001B80">
        <w:rPr>
          <w:lang w:val="en-US"/>
        </w:rPr>
      </w:r>
      <w:r w:rsidR="00001B80">
        <w:rPr>
          <w:lang w:val="en-US"/>
        </w:rPr>
        <w:fldChar w:fldCharType="separate"/>
      </w:r>
      <w:r w:rsidR="003A6473">
        <w:rPr>
          <w:lang w:val="en-US"/>
        </w:rPr>
        <w:t>[3]</w:t>
      </w:r>
      <w:r w:rsidR="00001B80">
        <w:rPr>
          <w:lang w:val="en-US"/>
        </w:rPr>
        <w:fldChar w:fldCharType="end"/>
      </w:r>
      <w:r w:rsidR="006C7CF9">
        <w:rPr>
          <w:lang w:val="en-US"/>
        </w:rPr>
        <w:t xml:space="preserve"> addressing the peak EIRP</w:t>
      </w:r>
      <w:r w:rsidR="003F699A">
        <w:rPr>
          <w:lang w:val="en-US"/>
        </w:rPr>
        <w:t>.</w:t>
      </w:r>
      <w:r w:rsidR="007D2255">
        <w:rPr>
          <w:lang w:val="en-US"/>
        </w:rPr>
        <w:t xml:space="preserve"> </w:t>
      </w:r>
    </w:p>
    <w:p w:rsidR="00A6239C" w:rsidRDefault="00001B80" w:rsidP="00545A8B">
      <w:pPr>
        <w:pStyle w:val="BodyText"/>
        <w:rPr>
          <w:lang w:val="en-US"/>
        </w:rPr>
      </w:pPr>
      <w:r>
        <w:rPr>
          <w:lang w:val="en-US"/>
        </w:rPr>
        <w:t>T</w:t>
      </w:r>
      <w:r w:rsidR="007D2255">
        <w:rPr>
          <w:lang w:val="en-US"/>
        </w:rPr>
        <w:t>his discussio</w:t>
      </w:r>
      <w:r w:rsidR="00C25731">
        <w:rPr>
          <w:lang w:val="en-US"/>
        </w:rPr>
        <w:t xml:space="preserve">n paper </w:t>
      </w:r>
      <w:r w:rsidR="00015A17">
        <w:rPr>
          <w:lang w:val="en-US"/>
        </w:rPr>
        <w:t>is an update of</w:t>
      </w:r>
      <w:r>
        <w:rPr>
          <w:lang w:val="en-US"/>
        </w:rPr>
        <w:t xml:space="preserve"> </w:t>
      </w:r>
      <w:r>
        <w:rPr>
          <w:lang w:val="en-US"/>
        </w:rPr>
        <w:fldChar w:fldCharType="begin"/>
      </w:r>
      <w:r>
        <w:rPr>
          <w:lang w:val="en-US"/>
        </w:rPr>
        <w:instrText xml:space="preserve"> REF _Ref506302471 \r \h </w:instrText>
      </w:r>
      <w:r>
        <w:rPr>
          <w:lang w:val="en-US"/>
        </w:rPr>
      </w:r>
      <w:r>
        <w:rPr>
          <w:lang w:val="en-US"/>
        </w:rPr>
        <w:fldChar w:fldCharType="separate"/>
      </w:r>
      <w:r w:rsidR="003A6473">
        <w:rPr>
          <w:lang w:val="en-US"/>
        </w:rPr>
        <w:t>[4]</w:t>
      </w:r>
      <w:r>
        <w:rPr>
          <w:lang w:val="en-US"/>
        </w:rPr>
        <w:fldChar w:fldCharType="end"/>
      </w:r>
      <w:r w:rsidR="00015A17">
        <w:rPr>
          <w:lang w:val="en-US"/>
        </w:rPr>
        <w:t xml:space="preserve">. In </w:t>
      </w:r>
      <w:r w:rsidR="00015A17">
        <w:rPr>
          <w:lang w:val="en-US"/>
        </w:rPr>
        <w:fldChar w:fldCharType="begin"/>
      </w:r>
      <w:r w:rsidR="00015A17">
        <w:rPr>
          <w:lang w:val="en-US"/>
        </w:rPr>
        <w:instrText xml:space="preserve"> REF _Ref506302471 \r \h </w:instrText>
      </w:r>
      <w:r w:rsidR="00015A17">
        <w:rPr>
          <w:lang w:val="en-US"/>
        </w:rPr>
      </w:r>
      <w:r w:rsidR="00015A17">
        <w:rPr>
          <w:lang w:val="en-US"/>
        </w:rPr>
        <w:fldChar w:fldCharType="separate"/>
      </w:r>
      <w:r w:rsidR="003A6473">
        <w:rPr>
          <w:lang w:val="en-US"/>
        </w:rPr>
        <w:t>[4]</w:t>
      </w:r>
      <w:r w:rsidR="00015A17">
        <w:rPr>
          <w:lang w:val="en-US"/>
        </w:rPr>
        <w:fldChar w:fldCharType="end"/>
      </w:r>
      <w:r w:rsidR="00015A17">
        <w:rPr>
          <w:lang w:val="en-US"/>
        </w:rPr>
        <w:t xml:space="preserve"> the impact of glass </w:t>
      </w:r>
      <w:r w:rsidR="006C7CF9">
        <w:rPr>
          <w:lang w:val="en-US"/>
        </w:rPr>
        <w:t xml:space="preserve">and plastic </w:t>
      </w:r>
      <w:r w:rsidR="00015A17">
        <w:rPr>
          <w:lang w:val="en-US"/>
        </w:rPr>
        <w:t xml:space="preserve">back cover on </w:t>
      </w:r>
      <w:r w:rsidR="006C7CF9">
        <w:rPr>
          <w:lang w:val="en-US"/>
        </w:rPr>
        <w:t>spherical coverage</w:t>
      </w:r>
      <w:r w:rsidR="00015A17">
        <w:rPr>
          <w:lang w:val="en-US"/>
        </w:rPr>
        <w:t xml:space="preserve"> was studied for </w:t>
      </w:r>
      <w:r w:rsidR="006C7CF9">
        <w:rPr>
          <w:lang w:val="en-US"/>
        </w:rPr>
        <w:t xml:space="preserve">dipole edge antennas and </w:t>
      </w:r>
      <w:r w:rsidR="00B96176">
        <w:rPr>
          <w:lang w:val="en-US"/>
        </w:rPr>
        <w:t>patch antennas</w:t>
      </w:r>
      <w:r w:rsidR="00597466">
        <w:rPr>
          <w:lang w:val="en-US"/>
        </w:rPr>
        <w:t xml:space="preserve"> using a simplified handheld UE </w:t>
      </w:r>
      <w:r w:rsidR="00B96176">
        <w:rPr>
          <w:lang w:val="en-US"/>
        </w:rPr>
        <w:t>layout model. In this paper the</w:t>
      </w:r>
      <w:r w:rsidR="00597466">
        <w:rPr>
          <w:lang w:val="en-US"/>
        </w:rPr>
        <w:t xml:space="preserve"> study is extended with a more complete handheld UE (smartphone) model. More cases (assumptions) are studied, however</w:t>
      </w:r>
      <w:r w:rsidR="00B96176">
        <w:rPr>
          <w:lang w:val="en-US"/>
        </w:rPr>
        <w:t xml:space="preserve">, </w:t>
      </w:r>
      <w:r w:rsidR="00BE6EDD">
        <w:rPr>
          <w:lang w:val="en-US"/>
        </w:rPr>
        <w:t xml:space="preserve">this time </w:t>
      </w:r>
      <w:r w:rsidR="00B96176">
        <w:rPr>
          <w:lang w:val="en-US"/>
        </w:rPr>
        <w:t>only including patch antennas</w:t>
      </w:r>
      <w:r w:rsidR="00597466">
        <w:rPr>
          <w:lang w:val="en-US"/>
        </w:rPr>
        <w:t>.</w:t>
      </w:r>
    </w:p>
    <w:p w:rsidR="000C2364" w:rsidRDefault="003A6473" w:rsidP="000C2364">
      <w:pPr>
        <w:pStyle w:val="Heading1"/>
        <w:keepLines/>
        <w:pBdr>
          <w:top w:val="single" w:sz="12" w:space="3" w:color="auto"/>
        </w:pBdr>
        <w:overflowPunct w:val="0"/>
        <w:autoSpaceDE w:val="0"/>
        <w:autoSpaceDN w:val="0"/>
        <w:adjustRightInd w:val="0"/>
        <w:spacing w:after="180"/>
        <w:ind w:right="0"/>
        <w:textAlignment w:val="baseline"/>
      </w:pPr>
      <w:r>
        <w:t>S</w:t>
      </w:r>
      <w:r w:rsidR="000C2364">
        <w:t>imulation</w:t>
      </w:r>
      <w:r>
        <w:t xml:space="preserve"> set-up</w:t>
      </w:r>
    </w:p>
    <w:p w:rsidR="004B7296" w:rsidRDefault="001A58F3" w:rsidP="004B7296">
      <w:pPr>
        <w:rPr>
          <w:lang w:val="en-US"/>
        </w:rPr>
      </w:pPr>
      <w:r>
        <w:rPr>
          <w:lang w:val="en-US"/>
        </w:rPr>
        <w:t xml:space="preserve">Spherical coverage is simulated for all </w:t>
      </w:r>
      <w:r w:rsidR="00746502">
        <w:rPr>
          <w:lang w:val="en-US"/>
        </w:rPr>
        <w:t xml:space="preserve">7 </w:t>
      </w:r>
      <w:r>
        <w:rPr>
          <w:lang w:val="en-US"/>
        </w:rPr>
        <w:t xml:space="preserve">assumptions in </w:t>
      </w:r>
      <w:r>
        <w:rPr>
          <w:lang w:val="en-US"/>
        </w:rPr>
        <w:fldChar w:fldCharType="begin"/>
      </w:r>
      <w:r>
        <w:rPr>
          <w:lang w:val="en-US"/>
        </w:rPr>
        <w:instrText xml:space="preserve"> REF _Ref506302287 \r \h </w:instrText>
      </w:r>
      <w:r>
        <w:rPr>
          <w:lang w:val="en-US"/>
        </w:rPr>
      </w:r>
      <w:r>
        <w:rPr>
          <w:lang w:val="en-US"/>
        </w:rPr>
        <w:fldChar w:fldCharType="separate"/>
      </w:r>
      <w:r w:rsidR="003A6473">
        <w:rPr>
          <w:lang w:val="en-US"/>
        </w:rPr>
        <w:t>[1]</w:t>
      </w:r>
      <w:r>
        <w:rPr>
          <w:lang w:val="en-US"/>
        </w:rPr>
        <w:fldChar w:fldCharType="end"/>
      </w:r>
      <w:r>
        <w:rPr>
          <w:lang w:val="en-US"/>
        </w:rPr>
        <w:t>. The</w:t>
      </w:r>
      <w:r w:rsidR="002A3D5C">
        <w:rPr>
          <w:lang w:val="en-US"/>
        </w:rPr>
        <w:t>se</w:t>
      </w:r>
      <w:r>
        <w:rPr>
          <w:lang w:val="en-US"/>
        </w:rPr>
        <w:t xml:space="preserve"> assumptions are copied in </w:t>
      </w:r>
      <w:r w:rsidR="002A3D5C">
        <w:rPr>
          <w:lang w:val="en-US"/>
        </w:rPr>
        <w:fldChar w:fldCharType="begin"/>
      </w:r>
      <w:r w:rsidR="002A3D5C">
        <w:rPr>
          <w:lang w:val="en-US"/>
        </w:rPr>
        <w:instrText xml:space="preserve"> REF _Ref506550460 \h </w:instrText>
      </w:r>
      <w:r w:rsidR="002A3D5C">
        <w:rPr>
          <w:lang w:val="en-US"/>
        </w:rPr>
      </w:r>
      <w:r w:rsidR="002A3D5C">
        <w:rPr>
          <w:lang w:val="en-US"/>
        </w:rPr>
        <w:fldChar w:fldCharType="separate"/>
      </w:r>
      <w:r w:rsidR="003A6473">
        <w:t xml:space="preserve">Table </w:t>
      </w:r>
      <w:r w:rsidR="003A6473">
        <w:rPr>
          <w:noProof/>
        </w:rPr>
        <w:t>1</w:t>
      </w:r>
      <w:r w:rsidR="002A3D5C">
        <w:rPr>
          <w:lang w:val="en-US"/>
        </w:rPr>
        <w:fldChar w:fldCharType="end"/>
      </w:r>
      <w:r w:rsidR="002A3D5C">
        <w:rPr>
          <w:lang w:val="en-US"/>
        </w:rPr>
        <w:t>. In addition assumption 6* and assumption 7* including “Partial” disp</w:t>
      </w:r>
      <w:r w:rsidR="00BE6EDD">
        <w:rPr>
          <w:lang w:val="en-US"/>
        </w:rPr>
        <w:t xml:space="preserve">lays are added. Partial display, in our simulation, </w:t>
      </w:r>
      <w:r w:rsidR="002A3D5C">
        <w:rPr>
          <w:lang w:val="en-US"/>
        </w:rPr>
        <w:t>means there is 5mm gap in top (and bottom) and thus one antenna array is placed in the front an</w:t>
      </w:r>
      <w:r w:rsidR="00746502">
        <w:rPr>
          <w:lang w:val="en-US"/>
        </w:rPr>
        <w:t>d the two others in the back compared to</w:t>
      </w:r>
      <w:r w:rsidR="002A3D5C">
        <w:rPr>
          <w:lang w:val="en-US"/>
        </w:rPr>
        <w:t xml:space="preserve"> assumption</w:t>
      </w:r>
      <w:r w:rsidR="004128BD">
        <w:rPr>
          <w:lang w:val="en-US"/>
        </w:rPr>
        <w:t>s</w:t>
      </w:r>
      <w:bookmarkStart w:id="0" w:name="_GoBack"/>
      <w:bookmarkEnd w:id="0"/>
      <w:r w:rsidR="002A3D5C">
        <w:rPr>
          <w:lang w:val="en-US"/>
        </w:rPr>
        <w:t xml:space="preserve"> 6 and 7 </w:t>
      </w:r>
      <w:r w:rsidR="00746502">
        <w:rPr>
          <w:lang w:val="en-US"/>
        </w:rPr>
        <w:t>where there are no room for antennas in the front and thus all 3 antennas are placed on the backside.</w:t>
      </w:r>
      <w:r w:rsidR="003A6473">
        <w:rPr>
          <w:lang w:val="en-US"/>
        </w:rPr>
        <w:t xml:space="preserve"> This is schematically shown in </w:t>
      </w:r>
      <w:r w:rsidR="003A6473">
        <w:rPr>
          <w:lang w:val="en-US"/>
        </w:rPr>
        <w:fldChar w:fldCharType="begin"/>
      </w:r>
      <w:r w:rsidR="003A6473">
        <w:rPr>
          <w:lang w:val="en-US"/>
        </w:rPr>
        <w:instrText xml:space="preserve"> REF _Ref506556850 \h </w:instrText>
      </w:r>
      <w:r w:rsidR="003A6473">
        <w:rPr>
          <w:lang w:val="en-US"/>
        </w:rPr>
      </w:r>
      <w:r w:rsidR="003A6473">
        <w:rPr>
          <w:lang w:val="en-US"/>
        </w:rPr>
        <w:fldChar w:fldCharType="separate"/>
      </w:r>
      <w:r w:rsidR="003A6473">
        <w:t xml:space="preserve">Figure </w:t>
      </w:r>
      <w:r w:rsidR="003A6473">
        <w:rPr>
          <w:noProof/>
        </w:rPr>
        <w:t>1</w:t>
      </w:r>
      <w:r w:rsidR="003A6473">
        <w:rPr>
          <w:lang w:val="en-US"/>
        </w:rPr>
        <w:fldChar w:fldCharType="end"/>
      </w:r>
      <w:r w:rsidR="003A6473">
        <w:rPr>
          <w:lang w:val="en-US"/>
        </w:rPr>
        <w:t>.</w:t>
      </w:r>
      <w:r w:rsidR="00B50F0F">
        <w:rPr>
          <w:lang w:val="en-US"/>
        </w:rPr>
        <w:t xml:space="preserve"> The simulations are done for a single frequency</w:t>
      </w:r>
      <w:r w:rsidR="002C39C1">
        <w:rPr>
          <w:lang w:val="en-US"/>
        </w:rPr>
        <w:t xml:space="preserve"> but valid for the complete frequency band</w:t>
      </w:r>
      <w:r w:rsidR="00B50F0F">
        <w:rPr>
          <w:lang w:val="en-US"/>
        </w:rPr>
        <w:t xml:space="preserve"> since only relative results </w:t>
      </w:r>
      <w:r w:rsidR="002C39C1">
        <w:rPr>
          <w:lang w:val="en-US"/>
        </w:rPr>
        <w:t>(</w:t>
      </w:r>
      <w:r w:rsidR="002C39C1" w:rsidRPr="00DE33C5">
        <w:sym w:font="Symbol" w:char="F044"/>
      </w:r>
      <w:r w:rsidR="002C39C1" w:rsidRPr="00DE33C5">
        <w:t xml:space="preserve"> EIRP @ %-tile</w:t>
      </w:r>
      <w:r w:rsidR="002C39C1">
        <w:t>)</w:t>
      </w:r>
      <w:r w:rsidR="002C39C1" w:rsidRPr="00DE33C5">
        <w:t xml:space="preserve"> </w:t>
      </w:r>
      <w:r w:rsidR="002C39C1">
        <w:rPr>
          <w:lang w:val="en-US"/>
        </w:rPr>
        <w:t>are discussed.</w:t>
      </w:r>
    </w:p>
    <w:p w:rsidR="001A58F3" w:rsidRDefault="001A58F3" w:rsidP="004B7296">
      <w:pPr>
        <w:rPr>
          <w:lang w:val="en-US"/>
        </w:rPr>
      </w:pPr>
    </w:p>
    <w:tbl>
      <w:tblPr>
        <w:tblW w:w="10380" w:type="dxa"/>
        <w:tblCellMar>
          <w:left w:w="0" w:type="dxa"/>
          <w:right w:w="0" w:type="dxa"/>
        </w:tblCellMar>
        <w:tblLook w:val="0600" w:firstRow="0" w:lastRow="0" w:firstColumn="0" w:lastColumn="0" w:noHBand="1" w:noVBand="1"/>
      </w:tblPr>
      <w:tblGrid>
        <w:gridCol w:w="2233"/>
        <w:gridCol w:w="518"/>
        <w:gridCol w:w="919"/>
        <w:gridCol w:w="860"/>
        <w:gridCol w:w="860"/>
        <w:gridCol w:w="860"/>
        <w:gridCol w:w="860"/>
        <w:gridCol w:w="860"/>
        <w:gridCol w:w="860"/>
        <w:gridCol w:w="1550"/>
      </w:tblGrid>
      <w:tr w:rsidR="002A3D5C" w:rsidRPr="002A3D5C" w:rsidTr="002A3D5C">
        <w:trPr>
          <w:trHeight w:val="161"/>
        </w:trPr>
        <w:tc>
          <w:tcPr>
            <w:tcW w:w="22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rsidR="002A3D5C" w:rsidRPr="002A3D5C" w:rsidRDefault="002A3D5C" w:rsidP="002A3D5C">
            <w:pPr>
              <w:rPr>
                <w:rFonts w:eastAsia="Times New Roman"/>
                <w:sz w:val="24"/>
                <w:szCs w:val="24"/>
                <w:lang w:val="en-US" w:eastAsia="ja-JP"/>
              </w:rPr>
            </w:pPr>
          </w:p>
        </w:tc>
        <w:tc>
          <w:tcPr>
            <w:tcW w:w="5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rPr>
                <w:rFonts w:eastAsia="Times New Roman"/>
                <w:lang w:val="en-US" w:eastAsia="ja-JP"/>
              </w:rPr>
            </w:pPr>
          </w:p>
        </w:tc>
        <w:tc>
          <w:tcPr>
            <w:tcW w:w="92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Assumptions1</w:t>
            </w:r>
          </w:p>
        </w:tc>
        <w:tc>
          <w:tcPr>
            <w:tcW w:w="86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Assumptions2</w:t>
            </w:r>
          </w:p>
        </w:tc>
        <w:tc>
          <w:tcPr>
            <w:tcW w:w="86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Assumptions3</w:t>
            </w:r>
          </w:p>
        </w:tc>
        <w:tc>
          <w:tcPr>
            <w:tcW w:w="86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Assumptions4</w:t>
            </w:r>
          </w:p>
        </w:tc>
        <w:tc>
          <w:tcPr>
            <w:tcW w:w="86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FF"/>
                <w:kern w:val="24"/>
                <w:sz w:val="14"/>
                <w:szCs w:val="14"/>
                <w:lang w:val="en-US" w:eastAsia="ja-JP"/>
              </w:rPr>
              <w:t>Assumptions5</w:t>
            </w:r>
          </w:p>
        </w:tc>
        <w:tc>
          <w:tcPr>
            <w:tcW w:w="86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Assumptions6</w:t>
            </w:r>
          </w:p>
        </w:tc>
        <w:tc>
          <w:tcPr>
            <w:tcW w:w="86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Assumptions7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Notes</w:t>
            </w:r>
          </w:p>
        </w:tc>
      </w:tr>
      <w:tr w:rsidR="002A3D5C" w:rsidRPr="002A3D5C" w:rsidTr="002A3D5C">
        <w:trPr>
          <w:trHeight w:val="161"/>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Frequency range</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n257</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n257</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n257</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n257</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N257</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n257</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N257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rPr>
                <w:rFonts w:ascii="Arial" w:eastAsia="Times New Roman" w:hAnsi="Arial" w:cs="Arial"/>
                <w:sz w:val="36"/>
                <w:szCs w:val="36"/>
                <w:lang w:val="en-US" w:eastAsia="ja-JP"/>
              </w:rPr>
            </w:pPr>
          </w:p>
        </w:tc>
      </w:tr>
      <w:tr w:rsidR="002A3D5C" w:rsidRPr="002A3D5C" w:rsidTr="002A3D5C">
        <w:trPr>
          <w:trHeight w:val="323"/>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 of antenna in an antenna module/set</w:t>
            </w:r>
            <w:r w:rsidRPr="002A3D5C">
              <w:rPr>
                <w:rFonts w:ascii="Calibri" w:eastAsia="Arial Unicode MS" w:hAnsi="Calibri" w:cs="Arial"/>
                <w:b/>
                <w:bCs/>
                <w:color w:val="000000"/>
                <w:kern w:val="24"/>
                <w:sz w:val="14"/>
                <w:szCs w:val="14"/>
                <w:lang w:val="en-US" w:eastAsia="ja-JP"/>
              </w:rPr>
              <w:br/>
              <w:t>(# of patches, # of dipoles, etc.)</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Depends on the current implementation</w:t>
            </w:r>
          </w:p>
        </w:tc>
      </w:tr>
      <w:tr w:rsidR="002A3D5C" w:rsidRPr="002A3D5C" w:rsidTr="002A3D5C">
        <w:trPr>
          <w:trHeight w:val="161"/>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 of antenna module/set in total</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2</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2</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2</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3</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rPr>
                <w:rFonts w:ascii="Arial" w:eastAsia="Times New Roman" w:hAnsi="Arial" w:cs="Arial"/>
                <w:sz w:val="36"/>
                <w:szCs w:val="36"/>
                <w:lang w:val="en-US" w:eastAsia="ja-JP"/>
              </w:rPr>
            </w:pPr>
          </w:p>
        </w:tc>
      </w:tr>
      <w:tr w:rsidR="002A3D5C" w:rsidRPr="002A3D5C" w:rsidTr="002A3D5C">
        <w:trPr>
          <w:trHeight w:val="323"/>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Finite UV</w:t>
            </w:r>
            <w:r w:rsidRPr="002A3D5C">
              <w:rPr>
                <w:rFonts w:ascii="Calibri" w:eastAsia="Arial Unicode MS" w:hAnsi="Calibri" w:cs="Arial"/>
                <w:b/>
                <w:bCs/>
                <w:color w:val="000000"/>
                <w:kern w:val="24"/>
                <w:sz w:val="14"/>
                <w:szCs w:val="14"/>
                <w:lang w:val="en-US" w:eastAsia="zh-TW"/>
              </w:rPr>
              <w:t xml:space="preserve"> </w:t>
            </w:r>
            <w:r w:rsidRPr="002A3D5C">
              <w:rPr>
                <w:rFonts w:ascii="Calibri" w:eastAsia="Arial Unicode MS" w:hAnsi="Calibri" w:cs="Arial"/>
                <w:b/>
                <w:bCs/>
                <w:color w:val="000000"/>
                <w:kern w:val="24"/>
                <w:sz w:val="14"/>
                <w:szCs w:val="14"/>
                <w:lang w:val="en-US" w:eastAsia="ja-JP"/>
              </w:rPr>
              <w:t>test points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Y/N</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Finite test point shall be the baseline</w:t>
            </w:r>
          </w:p>
        </w:tc>
      </w:tr>
      <w:tr w:rsidR="002A3D5C" w:rsidRPr="002A3D5C" w:rsidTr="002A3D5C">
        <w:trPr>
          <w:trHeight w:val="323"/>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Beam phase shifter controller</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degree</w:t>
            </w: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45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45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45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45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45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45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45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Finite beam shall be the baseline</w:t>
            </w:r>
          </w:p>
        </w:tc>
      </w:tr>
      <w:tr w:rsidR="002A3D5C" w:rsidRPr="002A3D5C" w:rsidTr="002A3D5C">
        <w:trPr>
          <w:trHeight w:val="323"/>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Antenna type (patch, dipole, or both)</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Depends on the current implementation</w:t>
            </w:r>
          </w:p>
        </w:tc>
      </w:tr>
      <w:tr w:rsidR="002A3D5C" w:rsidRPr="002A3D5C" w:rsidTr="002A3D5C">
        <w:trPr>
          <w:trHeight w:val="484"/>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Antenna module/set</w:t>
            </w:r>
            <w:r w:rsidRPr="002A3D5C">
              <w:rPr>
                <w:rFonts w:ascii="Calibri" w:eastAsia="Arial Unicode MS" w:hAnsi="Calibri" w:cs="Arial"/>
                <w:b/>
                <w:bCs/>
                <w:color w:val="000000"/>
                <w:kern w:val="24"/>
                <w:sz w:val="14"/>
                <w:szCs w:val="14"/>
                <w:lang w:val="en-US" w:eastAsia="zh-TW"/>
              </w:rPr>
              <w:t xml:space="preserve"> </w:t>
            </w:r>
            <w:r w:rsidRPr="002A3D5C">
              <w:rPr>
                <w:rFonts w:ascii="Calibri" w:eastAsia="Arial Unicode MS" w:hAnsi="Calibri" w:cs="Arial"/>
                <w:b/>
                <w:bCs/>
                <w:color w:val="000000"/>
                <w:kern w:val="24"/>
                <w:sz w:val="14"/>
                <w:szCs w:val="14"/>
                <w:lang w:val="en-US" w:eastAsia="ja-JP"/>
              </w:rPr>
              <w:t>location (front, back, top-side, left-side, right-side, bottom-side)</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Top / Bottom</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Top / Bottom</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Top &amp; Bottom</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Top &amp; Bottom</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Top &amp; Bottom</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Left &amp; Right &amp; Bottom</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Left &amp; Right &amp; Bottom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EA535D"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Combination</w:t>
            </w:r>
            <w:r w:rsidR="002A3D5C" w:rsidRPr="002A3D5C">
              <w:rPr>
                <w:rFonts w:ascii="Calibri" w:eastAsia="Arial Unicode MS" w:hAnsi="Calibri" w:cs="Arial"/>
                <w:color w:val="000000"/>
                <w:kern w:val="24"/>
                <w:sz w:val="14"/>
                <w:szCs w:val="14"/>
                <w:lang w:val="en-US" w:eastAsia="ja-JP"/>
              </w:rPr>
              <w:t xml:space="preserve"> of the lists are not precluded.</w:t>
            </w:r>
          </w:p>
        </w:tc>
      </w:tr>
      <w:tr w:rsidR="002A3D5C" w:rsidRPr="002A3D5C" w:rsidTr="002A3D5C">
        <w:trPr>
          <w:trHeight w:val="323"/>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Front cover (Plastic, Glass, Ceramic, Metal)</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Glass</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 xml:space="preserve">This information is meaningful only if it’s the same with the material which covers antennas. </w:t>
            </w:r>
          </w:p>
        </w:tc>
      </w:tr>
      <w:tr w:rsidR="002A3D5C" w:rsidRPr="002A3D5C" w:rsidTr="002A3D5C">
        <w:trPr>
          <w:trHeight w:val="323"/>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Back cover (Plastic, Glass, Ceramic, Metal)</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rPr>
                <w:rFonts w:ascii="Arial" w:eastAsia="Times New Roman" w:hAnsi="Arial" w:cs="Arial"/>
                <w:sz w:val="36"/>
                <w:szCs w:val="36"/>
                <w:lang w:val="en-US" w:eastAsia="ja-JP"/>
              </w:rPr>
            </w:pP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Plastic</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Plastic</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Glass</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Plastic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A3D5C" w:rsidRPr="002A3D5C" w:rsidRDefault="002A3D5C" w:rsidP="002A3D5C">
            <w:pPr>
              <w:rPr>
                <w:rFonts w:ascii="Arial" w:eastAsia="Times New Roman" w:hAnsi="Arial" w:cs="Arial"/>
                <w:sz w:val="36"/>
                <w:szCs w:val="36"/>
                <w:lang w:val="en-US" w:eastAsia="ja-JP"/>
              </w:rPr>
            </w:pPr>
          </w:p>
        </w:tc>
      </w:tr>
      <w:tr w:rsidR="002A3D5C" w:rsidRPr="002A3D5C" w:rsidTr="002A3D5C">
        <w:trPr>
          <w:trHeight w:val="323"/>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Side cover / Frame (Plastic, Glass, Ceramic, Metal)</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Arial Unicode MS" w:cs="Arial Unicode MS" w:hint="eastAsia"/>
                <w:color w:val="000000"/>
                <w:kern w:val="24"/>
                <w:sz w:val="14"/>
                <w:szCs w:val="14"/>
                <w:lang w:val="en-US" w:eastAsia="ko-KR"/>
              </w:rPr>
              <w:t xml:space="preserve">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Metal</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Plastic</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Metal</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Metal</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Plastic</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Metal</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Plastic</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A3D5C" w:rsidRPr="002A3D5C" w:rsidRDefault="002A3D5C" w:rsidP="002A3D5C">
            <w:pPr>
              <w:rPr>
                <w:rFonts w:ascii="Arial" w:eastAsia="Times New Roman" w:hAnsi="Arial" w:cs="Arial"/>
                <w:sz w:val="36"/>
                <w:szCs w:val="36"/>
                <w:lang w:val="en-US" w:eastAsia="ja-JP"/>
              </w:rPr>
            </w:pPr>
          </w:p>
        </w:tc>
      </w:tr>
      <w:tr w:rsidR="002A3D5C" w:rsidRPr="002A3D5C" w:rsidTr="002A3D5C">
        <w:trPr>
          <w:trHeight w:val="161"/>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Device size (WxHxD)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cm3</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66.6</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66.6</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66.6</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66.6</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66.6</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66.6</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66.6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This is for information</w:t>
            </w:r>
          </w:p>
        </w:tc>
      </w:tr>
      <w:tr w:rsidR="002A3D5C" w:rsidRPr="002A3D5C" w:rsidTr="002A3D5C">
        <w:trPr>
          <w:trHeight w:val="161"/>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Display panel – Full (Y) or Partial (N)</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Y/N</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N</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Y</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rPr>
                <w:rFonts w:ascii="Arial" w:eastAsia="Times New Roman" w:hAnsi="Arial" w:cs="Arial"/>
                <w:sz w:val="36"/>
                <w:szCs w:val="36"/>
                <w:lang w:val="en-US" w:eastAsia="ja-JP"/>
              </w:rPr>
            </w:pPr>
          </w:p>
        </w:tc>
      </w:tr>
      <w:tr w:rsidR="002A3D5C" w:rsidRPr="002A3D5C" w:rsidTr="002A3D5C">
        <w:trPr>
          <w:trHeight w:val="484"/>
        </w:trPr>
        <w:tc>
          <w:tcPr>
            <w:tcW w:w="226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b/>
                <w:bCs/>
                <w:color w:val="000000"/>
                <w:kern w:val="24"/>
                <w:sz w:val="14"/>
                <w:szCs w:val="14"/>
                <w:lang w:val="en-US" w:eastAsia="ja-JP"/>
              </w:rPr>
              <w:t>Bezel Margin</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mm</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FF"/>
                <w:kern w:val="24"/>
                <w:sz w:val="14"/>
                <w:szCs w:val="14"/>
                <w:lang w:val="en-US" w:eastAsia="ja-JP"/>
              </w:rPr>
              <w:t>1.5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3D5C" w:rsidRPr="002A3D5C" w:rsidRDefault="002A3D5C" w:rsidP="002A3D5C">
            <w:pPr>
              <w:jc w:val="center"/>
              <w:textAlignment w:val="center"/>
              <w:rPr>
                <w:rFonts w:ascii="Arial" w:eastAsia="Times New Roman" w:hAnsi="Arial" w:cs="Arial"/>
                <w:sz w:val="36"/>
                <w:szCs w:val="36"/>
                <w:lang w:val="en-US" w:eastAsia="ja-JP"/>
              </w:rPr>
            </w:pPr>
            <w:r w:rsidRPr="002A3D5C">
              <w:rPr>
                <w:rFonts w:ascii="Calibri" w:eastAsia="Arial Unicode MS" w:hAnsi="Calibri" w:cs="Arial"/>
                <w:color w:val="000000"/>
                <w:kern w:val="24"/>
                <w:sz w:val="14"/>
                <w:szCs w:val="14"/>
                <w:lang w:val="en-US" w:eastAsia="ja-JP"/>
              </w:rPr>
              <w:t>Module can’t be placed outer edge of UE to secure mechanical reliability</w:t>
            </w:r>
          </w:p>
        </w:tc>
      </w:tr>
    </w:tbl>
    <w:p w:rsidR="001A58F3" w:rsidRDefault="001A58F3" w:rsidP="004B7296">
      <w:pPr>
        <w:rPr>
          <w:lang w:val="en-US"/>
        </w:rPr>
      </w:pPr>
    </w:p>
    <w:p w:rsidR="001A58F3" w:rsidRDefault="002A3D5C" w:rsidP="002A3D5C">
      <w:pPr>
        <w:pStyle w:val="Caption"/>
        <w:jc w:val="center"/>
        <w:rPr>
          <w:lang w:val="en-US"/>
        </w:rPr>
      </w:pPr>
      <w:bookmarkStart w:id="1" w:name="_Ref506550460"/>
      <w:r>
        <w:t xml:space="preserve">Table </w:t>
      </w:r>
      <w:fldSimple w:instr=" SEQ Table \* ARABIC ">
        <w:r w:rsidR="00DE33C5">
          <w:rPr>
            <w:noProof/>
          </w:rPr>
          <w:t>1</w:t>
        </w:r>
      </w:fldSimple>
      <w:bookmarkEnd w:id="1"/>
      <w:r>
        <w:t xml:space="preserve">. Simulations assumption from </w:t>
      </w:r>
      <w:r w:rsidRPr="002A3D5C">
        <w:t>“WF on EIRP CDF for spherical coverage”</w:t>
      </w:r>
      <w:r>
        <w:t xml:space="preserve"> </w:t>
      </w:r>
      <w:r>
        <w:fldChar w:fldCharType="begin"/>
      </w:r>
      <w:r>
        <w:instrText xml:space="preserve"> REF _Ref506302287 \r \h </w:instrText>
      </w:r>
      <w:r>
        <w:fldChar w:fldCharType="separate"/>
      </w:r>
      <w:r w:rsidR="003A6473">
        <w:t>[1]</w:t>
      </w:r>
      <w:r>
        <w:fldChar w:fldCharType="end"/>
      </w:r>
      <w:r>
        <w:t>.</w:t>
      </w:r>
    </w:p>
    <w:p w:rsidR="00BE201B" w:rsidRDefault="00BE201B" w:rsidP="0042420C">
      <w:pPr>
        <w:rPr>
          <w:lang w:val="en-US"/>
        </w:rPr>
      </w:pPr>
    </w:p>
    <w:p w:rsidR="00EA535D" w:rsidRDefault="00EA535D" w:rsidP="0010366B">
      <w:pPr>
        <w:jc w:val="center"/>
        <w:rPr>
          <w:lang w:val="en-US"/>
        </w:rPr>
      </w:pPr>
      <w:r>
        <w:rPr>
          <w:noProof/>
          <w:lang w:val="en-US" w:eastAsia="ja-JP"/>
        </w:rPr>
        <w:lastRenderedPageBreak/>
        <w:drawing>
          <wp:inline distT="0" distB="0" distL="0" distR="0" wp14:anchorId="23F92976">
            <wp:extent cx="3699615" cy="1832167"/>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8" cy="1842811"/>
                    </a:xfrm>
                    <a:prstGeom prst="rect">
                      <a:avLst/>
                    </a:prstGeom>
                    <a:noFill/>
                  </pic:spPr>
                </pic:pic>
              </a:graphicData>
            </a:graphic>
          </wp:inline>
        </w:drawing>
      </w:r>
    </w:p>
    <w:p w:rsidR="003A6473" w:rsidRDefault="003A6473" w:rsidP="003A6473">
      <w:pPr>
        <w:pStyle w:val="Caption"/>
        <w:jc w:val="center"/>
        <w:rPr>
          <w:lang w:val="en-US"/>
        </w:rPr>
      </w:pPr>
      <w:bookmarkStart w:id="2" w:name="_Ref506556850"/>
      <w:r>
        <w:t xml:space="preserve">Figure </w:t>
      </w:r>
      <w:fldSimple w:instr=" SEQ Figure \* ARABIC ">
        <w:r w:rsidR="00D85902">
          <w:rPr>
            <w:noProof/>
          </w:rPr>
          <w:t>1</w:t>
        </w:r>
      </w:fldSimple>
      <w:bookmarkEnd w:id="2"/>
      <w:r>
        <w:t>. Schematic picture of Assumption 6* (and 7*)</w:t>
      </w:r>
    </w:p>
    <w:p w:rsidR="00BE201B" w:rsidRDefault="003A6473" w:rsidP="00BE201B">
      <w:pPr>
        <w:pStyle w:val="Heading2"/>
        <w:rPr>
          <w:lang w:val="en-US"/>
        </w:rPr>
      </w:pPr>
      <w:r>
        <w:rPr>
          <w:lang w:val="en-US"/>
        </w:rPr>
        <w:t>UE layout model</w:t>
      </w:r>
    </w:p>
    <w:p w:rsidR="003A6473" w:rsidRDefault="003A6473" w:rsidP="003A6473">
      <w:pPr>
        <w:pStyle w:val="BodyText"/>
        <w:rPr>
          <w:lang w:val="en-US"/>
        </w:rPr>
      </w:pPr>
      <w:r>
        <w:rPr>
          <w:lang w:val="en-US"/>
        </w:rPr>
        <w:t xml:space="preserve">In </w:t>
      </w:r>
      <w:r>
        <w:rPr>
          <w:lang w:val="en-US"/>
        </w:rPr>
        <w:fldChar w:fldCharType="begin"/>
      </w:r>
      <w:r>
        <w:rPr>
          <w:lang w:val="en-US"/>
        </w:rPr>
        <w:instrText xml:space="preserve"> REF _Ref506557062 \r \h </w:instrText>
      </w:r>
      <w:r>
        <w:rPr>
          <w:lang w:val="en-US"/>
        </w:rPr>
      </w:r>
      <w:r>
        <w:rPr>
          <w:lang w:val="en-US"/>
        </w:rPr>
        <w:fldChar w:fldCharType="separate"/>
      </w:r>
      <w:r>
        <w:rPr>
          <w:lang w:val="en-US"/>
        </w:rPr>
        <w:t>[4]</w:t>
      </w:r>
      <w:r>
        <w:rPr>
          <w:lang w:val="en-US"/>
        </w:rPr>
        <w:fldChar w:fldCharType="end"/>
      </w:r>
      <w:r>
        <w:rPr>
          <w:lang w:val="en-US"/>
        </w:rPr>
        <w:t xml:space="preserve"> a simplified model of a handheld UE (smartphone) </w:t>
      </w:r>
      <w:r w:rsidR="00BE6EDD">
        <w:rPr>
          <w:lang w:val="en-US"/>
        </w:rPr>
        <w:t>was used. In this simulation CAD</w:t>
      </w:r>
      <w:r w:rsidR="003123EC">
        <w:rPr>
          <w:lang w:val="en-US"/>
        </w:rPr>
        <w:t>-</w:t>
      </w:r>
      <w:r>
        <w:rPr>
          <w:lang w:val="en-US"/>
        </w:rPr>
        <w:t>files of an existing smartphone have been extracted into the full wave electromagnetic simulator</w:t>
      </w:r>
      <w:r w:rsidR="003B77F2">
        <w:rPr>
          <w:lang w:val="en-US"/>
        </w:rPr>
        <w:t xml:space="preserve">. The display size has been modified to accommodate the different assumptions. In all simulations the antennas are general patches on Rogers RO4003C™ laminate. A summary of the layer properties </w:t>
      </w:r>
      <w:r w:rsidR="002132E2">
        <w:rPr>
          <w:lang w:val="en-US"/>
        </w:rPr>
        <w:t xml:space="preserve">according to </w:t>
      </w:r>
      <w:r w:rsidR="002132E2">
        <w:rPr>
          <w:lang w:val="en-US"/>
        </w:rPr>
        <w:fldChar w:fldCharType="begin"/>
      </w:r>
      <w:r w:rsidR="002132E2">
        <w:rPr>
          <w:lang w:val="en-US"/>
        </w:rPr>
        <w:instrText xml:space="preserve"> REF _Ref506302287 \r \h </w:instrText>
      </w:r>
      <w:r w:rsidR="002132E2">
        <w:rPr>
          <w:lang w:val="en-US"/>
        </w:rPr>
      </w:r>
      <w:r w:rsidR="002132E2">
        <w:rPr>
          <w:lang w:val="en-US"/>
        </w:rPr>
        <w:fldChar w:fldCharType="separate"/>
      </w:r>
      <w:r w:rsidR="002132E2">
        <w:rPr>
          <w:lang w:val="en-US"/>
        </w:rPr>
        <w:t>[1]</w:t>
      </w:r>
      <w:r w:rsidR="002132E2">
        <w:rPr>
          <w:lang w:val="en-US"/>
        </w:rPr>
        <w:fldChar w:fldCharType="end"/>
      </w:r>
      <w:r w:rsidR="002132E2">
        <w:rPr>
          <w:lang w:val="en-US"/>
        </w:rPr>
        <w:t xml:space="preserve"> </w:t>
      </w:r>
      <w:r w:rsidR="007B4360">
        <w:rPr>
          <w:lang w:val="en-US"/>
        </w:rPr>
        <w:t xml:space="preserve">is given in </w:t>
      </w:r>
      <w:r w:rsidR="002132E2">
        <w:rPr>
          <w:lang w:val="en-US"/>
        </w:rPr>
        <w:fldChar w:fldCharType="begin"/>
      </w:r>
      <w:r w:rsidR="002132E2">
        <w:rPr>
          <w:lang w:val="en-US"/>
        </w:rPr>
        <w:instrText xml:space="preserve"> REF _Ref506558179 \h </w:instrText>
      </w:r>
      <w:r w:rsidR="002132E2">
        <w:rPr>
          <w:lang w:val="en-US"/>
        </w:rPr>
      </w:r>
      <w:r w:rsidR="002132E2">
        <w:rPr>
          <w:lang w:val="en-US"/>
        </w:rPr>
        <w:fldChar w:fldCharType="separate"/>
      </w:r>
      <w:r w:rsidR="002132E2">
        <w:t xml:space="preserve">Table </w:t>
      </w:r>
      <w:r w:rsidR="002132E2">
        <w:rPr>
          <w:noProof/>
        </w:rPr>
        <w:t>2</w:t>
      </w:r>
      <w:r w:rsidR="002132E2">
        <w:rPr>
          <w:lang w:val="en-US"/>
        </w:rPr>
        <w:fldChar w:fldCharType="end"/>
      </w:r>
      <w:r w:rsidR="002132E2">
        <w:rPr>
          <w:lang w:val="en-US"/>
        </w:rPr>
        <w:t>.</w:t>
      </w:r>
    </w:p>
    <w:tbl>
      <w:tblPr>
        <w:tblW w:w="7900" w:type="dxa"/>
        <w:tblInd w:w="988" w:type="dxa"/>
        <w:tblCellMar>
          <w:left w:w="0" w:type="dxa"/>
          <w:right w:w="0" w:type="dxa"/>
        </w:tblCellMar>
        <w:tblLook w:val="0420" w:firstRow="1" w:lastRow="0" w:firstColumn="0" w:lastColumn="0" w:noHBand="0" w:noVBand="1"/>
      </w:tblPr>
      <w:tblGrid>
        <w:gridCol w:w="2649"/>
        <w:gridCol w:w="1680"/>
        <w:gridCol w:w="1457"/>
        <w:gridCol w:w="838"/>
        <w:gridCol w:w="1276"/>
      </w:tblGrid>
      <w:tr w:rsidR="007B4360" w:rsidRPr="007B4360" w:rsidTr="007B4360">
        <w:trPr>
          <w:trHeight w:val="352"/>
        </w:trPr>
        <w:tc>
          <w:tcPr>
            <w:tcW w:w="7900" w:type="dxa"/>
            <w:gridSpan w:val="5"/>
            <w:tcBorders>
              <w:top w:val="single" w:sz="18" w:space="0" w:color="000000"/>
              <w:left w:val="nil"/>
              <w:bottom w:val="single" w:sz="18" w:space="0" w:color="000000"/>
              <w:right w:val="nil"/>
            </w:tcBorders>
            <w:shd w:val="clear" w:color="auto" w:fill="auto"/>
            <w:tcMar>
              <w:top w:w="49" w:type="dxa"/>
              <w:left w:w="99" w:type="dxa"/>
              <w:bottom w:w="49" w:type="dxa"/>
              <w:right w:w="99" w:type="dxa"/>
            </w:tcMa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b/>
                <w:bCs/>
                <w:color w:val="000000"/>
                <w:kern w:val="24"/>
                <w:sz w:val="24"/>
                <w:szCs w:val="24"/>
                <w:lang w:val="en-US" w:eastAsia="ja-JP"/>
              </w:rPr>
              <w:t>Layer Properties</w:t>
            </w:r>
          </w:p>
        </w:tc>
      </w:tr>
      <w:tr w:rsidR="007B4360" w:rsidRPr="007B4360" w:rsidTr="007B4360">
        <w:trPr>
          <w:trHeight w:val="330"/>
        </w:trPr>
        <w:tc>
          <w:tcPr>
            <w:tcW w:w="2649" w:type="dxa"/>
            <w:tcBorders>
              <w:top w:val="single" w:sz="18" w:space="0" w:color="000000"/>
              <w:left w:val="nil"/>
              <w:bottom w:val="single" w:sz="8" w:space="0" w:color="000000"/>
              <w:right w:val="single" w:sz="8" w:space="0" w:color="000000"/>
            </w:tcBorders>
            <w:shd w:val="clear" w:color="auto" w:fill="auto"/>
            <w:tcMar>
              <w:top w:w="49" w:type="dxa"/>
              <w:left w:w="99" w:type="dxa"/>
              <w:bottom w:w="49" w:type="dxa"/>
              <w:right w:w="99" w:type="dxa"/>
            </w:tcMa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b/>
                <w:bCs/>
                <w:color w:val="000000"/>
                <w:kern w:val="24"/>
                <w:sz w:val="18"/>
                <w:szCs w:val="18"/>
                <w:lang w:val="en-US" w:eastAsia="ja-JP"/>
              </w:rPr>
              <w:t>Name</w:t>
            </w:r>
          </w:p>
        </w:tc>
        <w:tc>
          <w:tcPr>
            <w:tcW w:w="1680" w:type="dxa"/>
            <w:tcBorders>
              <w:top w:val="single" w:sz="1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b/>
                <w:bCs/>
                <w:color w:val="000000"/>
                <w:kern w:val="24"/>
                <w:sz w:val="18"/>
                <w:szCs w:val="18"/>
                <w:lang w:val="en-US" w:eastAsia="ja-JP"/>
              </w:rPr>
              <w:t>Material</w:t>
            </w:r>
          </w:p>
        </w:tc>
        <w:tc>
          <w:tcPr>
            <w:tcW w:w="1457" w:type="dxa"/>
            <w:tcBorders>
              <w:top w:val="single" w:sz="1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b/>
                <w:bCs/>
                <w:color w:val="000000"/>
                <w:kern w:val="24"/>
                <w:sz w:val="18"/>
                <w:szCs w:val="18"/>
                <w:lang w:val="en-US" w:eastAsia="ja-JP"/>
              </w:rPr>
              <w:t>Thickness</w:t>
            </w:r>
          </w:p>
        </w:tc>
        <w:tc>
          <w:tcPr>
            <w:tcW w:w="838" w:type="dxa"/>
            <w:tcBorders>
              <w:top w:val="single" w:sz="1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b/>
                <w:bCs/>
                <w:color w:val="000000"/>
                <w:kern w:val="24"/>
                <w:sz w:val="22"/>
                <w:szCs w:val="22"/>
                <w:lang w:val="en-US" w:eastAsia="ja-JP"/>
              </w:rPr>
              <w:t>Ɛ</w:t>
            </w:r>
            <w:r w:rsidRPr="007B4360">
              <w:rPr>
                <w:rFonts w:ascii="Calibri" w:eastAsia="Arial Unicode MS" w:hAnsi="Calibri" w:cs="Arial"/>
                <w:b/>
                <w:bCs/>
                <w:color w:val="000000"/>
                <w:kern w:val="24"/>
                <w:position w:val="-5"/>
                <w:sz w:val="18"/>
                <w:szCs w:val="18"/>
                <w:vertAlign w:val="subscript"/>
                <w:lang w:val="en-US" w:eastAsia="ja-JP"/>
              </w:rPr>
              <w:t>r</w:t>
            </w:r>
          </w:p>
        </w:tc>
        <w:tc>
          <w:tcPr>
            <w:tcW w:w="1276" w:type="dxa"/>
            <w:tcBorders>
              <w:top w:val="single" w:sz="18" w:space="0" w:color="000000"/>
              <w:left w:val="single" w:sz="8" w:space="0" w:color="000000"/>
              <w:bottom w:val="single" w:sz="8" w:space="0" w:color="000000"/>
              <w:right w:val="nil"/>
            </w:tcBorders>
            <w:shd w:val="clear" w:color="auto" w:fill="auto"/>
            <w:tcMar>
              <w:top w:w="49" w:type="dxa"/>
              <w:left w:w="99" w:type="dxa"/>
              <w:bottom w:w="49" w:type="dxa"/>
              <w:right w:w="99" w:type="dxa"/>
            </w:tcMa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b/>
                <w:bCs/>
                <w:color w:val="000000"/>
                <w:kern w:val="24"/>
                <w:sz w:val="18"/>
                <w:szCs w:val="18"/>
                <w:lang w:val="en-US" w:eastAsia="ja-JP"/>
              </w:rPr>
              <w:t xml:space="preserve">tan </w:t>
            </w:r>
            <w:r w:rsidRPr="007B4360">
              <w:rPr>
                <w:rFonts w:ascii="Calibri" w:eastAsia="Arial Unicode MS" w:hAnsi="Calibri" w:cs="Arial"/>
                <w:b/>
                <w:bCs/>
                <w:color w:val="000000"/>
                <w:kern w:val="24"/>
                <w:sz w:val="18"/>
                <w:szCs w:val="18"/>
                <w:lang w:val="el-GR" w:eastAsia="ja-JP"/>
              </w:rPr>
              <w:t>δ</w:t>
            </w:r>
          </w:p>
        </w:tc>
      </w:tr>
      <w:tr w:rsidR="007B4360" w:rsidRPr="007B4360" w:rsidTr="007B4360">
        <w:trPr>
          <w:trHeight w:val="381"/>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Antenna substrate Dielectrics</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Rogers RO4003C™</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0.3mm</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rPr>
                <w:rFonts w:eastAsia="Times New Roman"/>
                <w:lang w:val="en-US" w:eastAsia="ja-JP"/>
              </w:rPr>
            </w:pPr>
          </w:p>
        </w:tc>
      </w:tr>
      <w:tr w:rsidR="007B4360" w:rsidRPr="007B4360" w:rsidTr="007B4360">
        <w:trPr>
          <w:trHeight w:val="287"/>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Antenna Substrate Metals</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copper</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w:t>
            </w:r>
          </w:p>
        </w:tc>
        <w:tc>
          <w:tcPr>
            <w:tcW w:w="2114" w:type="dxa"/>
            <w:gridSpan w:val="2"/>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conductivity</w:t>
            </w:r>
          </w:p>
        </w:tc>
      </w:tr>
      <w:tr w:rsidR="007B4360" w:rsidRPr="007B4360" w:rsidTr="007B4360">
        <w:trPr>
          <w:trHeight w:val="287"/>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Gap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Air/Plastic/?</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~2-3mm</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rPr>
                <w:rFonts w:eastAsia="Times New Roman"/>
                <w:lang w:val="en-US" w:eastAsia="ja-JP"/>
              </w:rPr>
            </w:pPr>
          </w:p>
        </w:tc>
      </w:tr>
      <w:tr w:rsidR="007B4360" w:rsidRPr="007B4360" w:rsidTr="007B4360">
        <w:trPr>
          <w:trHeight w:val="330"/>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Gap 2</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Air/Plastic/?</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2.8mm</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rPr>
                <w:rFonts w:eastAsia="Times New Roman"/>
                <w:lang w:val="en-US" w:eastAsia="ja-JP"/>
              </w:rPr>
            </w:pPr>
          </w:p>
        </w:tc>
      </w:tr>
      <w:tr w:rsidR="007B4360" w:rsidRPr="007B4360" w:rsidTr="007B4360">
        <w:trPr>
          <w:trHeight w:val="330"/>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Gap 3</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Air/Plastic/?</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w:t>
            </w:r>
            <w:r w:rsidRPr="007B4360">
              <w:rPr>
                <w:rFonts w:ascii="Calibri" w:eastAsia="Arial Unicode MS" w:hAnsi="Calibri" w:cs="Arial"/>
                <w:color w:val="000000"/>
                <w:kern w:val="24"/>
                <w:position w:val="-5"/>
                <w:sz w:val="18"/>
                <w:szCs w:val="18"/>
                <w:vertAlign w:val="subscript"/>
                <w:lang w:val="en-US" w:eastAsia="ja-JP"/>
              </w:rPr>
              <w:t>3</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rPr>
                <w:rFonts w:eastAsia="Times New Roman"/>
                <w:lang w:val="en-US" w:eastAsia="ja-JP"/>
              </w:rPr>
            </w:pPr>
          </w:p>
        </w:tc>
      </w:tr>
      <w:tr w:rsidR="007B4360" w:rsidRPr="007B4360" w:rsidTr="007B4360">
        <w:trPr>
          <w:trHeight w:val="330"/>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Gap 4</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Air/Plastic/?</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1.5mm</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Air</w:t>
            </w: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p>
        </w:tc>
      </w:tr>
      <w:tr w:rsidR="007B4360" w:rsidRPr="007B4360" w:rsidTr="007B4360">
        <w:trPr>
          <w:trHeight w:val="381"/>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Edge material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Glass/Plastic/Metal</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W</w:t>
            </w:r>
            <w:r w:rsidRPr="007B4360">
              <w:rPr>
                <w:rFonts w:ascii="Calibri" w:eastAsia="Arial Unicode MS" w:hAnsi="Calibri" w:cs="Arial"/>
                <w:color w:val="000000"/>
                <w:kern w:val="24"/>
                <w:position w:val="-5"/>
                <w:sz w:val="18"/>
                <w:szCs w:val="18"/>
                <w:vertAlign w:val="subscript"/>
                <w:lang w:val="en-US" w:eastAsia="ja-JP"/>
              </w:rPr>
              <w:t>1</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Al</w:t>
            </w: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p>
        </w:tc>
      </w:tr>
      <w:tr w:rsidR="007B4360" w:rsidRPr="007B4360" w:rsidTr="007B4360">
        <w:trPr>
          <w:trHeight w:val="381"/>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Edge material 2</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Glass/Plastic/Metal</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0.77mm</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6.98</w:t>
            </w: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0.03</w:t>
            </w:r>
          </w:p>
        </w:tc>
      </w:tr>
      <w:tr w:rsidR="007B4360" w:rsidRPr="007B4360" w:rsidTr="007B4360">
        <w:trPr>
          <w:trHeight w:val="381"/>
        </w:trPr>
        <w:tc>
          <w:tcPr>
            <w:tcW w:w="2649" w:type="dxa"/>
            <w:tcBorders>
              <w:top w:val="single" w:sz="8" w:space="0" w:color="000000"/>
              <w:left w:val="nil"/>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Edge material 3</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Glass/Plastic/Metal</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W</w:t>
            </w:r>
            <w:r w:rsidRPr="007B4360">
              <w:rPr>
                <w:rFonts w:ascii="Calibri" w:eastAsia="Arial Unicode MS" w:hAnsi="Calibri" w:cs="Arial"/>
                <w:color w:val="000000"/>
                <w:kern w:val="24"/>
                <w:position w:val="-5"/>
                <w:sz w:val="18"/>
                <w:szCs w:val="18"/>
                <w:vertAlign w:val="subscript"/>
                <w:lang w:val="en-US" w:eastAsia="ja-JP"/>
              </w:rPr>
              <w:t>3</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Al</w:t>
            </w:r>
          </w:p>
        </w:tc>
        <w:tc>
          <w:tcPr>
            <w:tcW w:w="1276" w:type="dxa"/>
            <w:tcBorders>
              <w:top w:val="single" w:sz="8" w:space="0" w:color="000000"/>
              <w:left w:val="single" w:sz="8" w:space="0" w:color="000000"/>
              <w:bottom w:val="single" w:sz="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p>
        </w:tc>
      </w:tr>
      <w:tr w:rsidR="007B4360" w:rsidRPr="007B4360" w:rsidTr="007B4360">
        <w:trPr>
          <w:trHeight w:val="381"/>
        </w:trPr>
        <w:tc>
          <w:tcPr>
            <w:tcW w:w="2649" w:type="dxa"/>
            <w:tcBorders>
              <w:top w:val="single" w:sz="8" w:space="0" w:color="000000"/>
              <w:left w:val="nil"/>
              <w:bottom w:val="single" w:sz="1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Edge material 4</w:t>
            </w:r>
          </w:p>
        </w:tc>
        <w:tc>
          <w:tcPr>
            <w:tcW w:w="1680" w:type="dxa"/>
            <w:tcBorders>
              <w:top w:val="single" w:sz="8" w:space="0" w:color="000000"/>
              <w:left w:val="single" w:sz="8" w:space="0" w:color="000000"/>
              <w:bottom w:val="single" w:sz="1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Glass/Plastic/Metal</w:t>
            </w:r>
          </w:p>
        </w:tc>
        <w:tc>
          <w:tcPr>
            <w:tcW w:w="1457" w:type="dxa"/>
            <w:tcBorders>
              <w:top w:val="single" w:sz="8" w:space="0" w:color="000000"/>
              <w:left w:val="single" w:sz="8" w:space="0" w:color="000000"/>
              <w:bottom w:val="single" w:sz="1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0.77mm</w:t>
            </w:r>
          </w:p>
        </w:tc>
        <w:tc>
          <w:tcPr>
            <w:tcW w:w="838" w:type="dxa"/>
            <w:tcBorders>
              <w:top w:val="single" w:sz="8" w:space="0" w:color="000000"/>
              <w:left w:val="single" w:sz="8" w:space="0" w:color="000000"/>
              <w:bottom w:val="single" w:sz="18" w:space="0" w:color="000000"/>
              <w:right w:val="single" w:sz="8" w:space="0" w:color="000000"/>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6.98</w:t>
            </w:r>
          </w:p>
        </w:tc>
        <w:tc>
          <w:tcPr>
            <w:tcW w:w="1276" w:type="dxa"/>
            <w:tcBorders>
              <w:top w:val="single" w:sz="8" w:space="0" w:color="000000"/>
              <w:left w:val="single" w:sz="8" w:space="0" w:color="000000"/>
              <w:bottom w:val="single" w:sz="18" w:space="0" w:color="000000"/>
              <w:right w:val="nil"/>
            </w:tcBorders>
            <w:shd w:val="clear" w:color="auto" w:fill="auto"/>
            <w:tcMar>
              <w:top w:w="49" w:type="dxa"/>
              <w:left w:w="99" w:type="dxa"/>
              <w:bottom w:w="49" w:type="dxa"/>
              <w:right w:w="99" w:type="dxa"/>
            </w:tcMar>
            <w:vAlign w:val="center"/>
            <w:hideMark/>
          </w:tcPr>
          <w:p w:rsidR="007B4360" w:rsidRPr="007B4360" w:rsidRDefault="007B4360" w:rsidP="007B4360">
            <w:pPr>
              <w:jc w:val="center"/>
              <w:rPr>
                <w:rFonts w:ascii="Arial" w:eastAsia="Times New Roman" w:hAnsi="Arial" w:cs="Arial"/>
                <w:sz w:val="36"/>
                <w:szCs w:val="36"/>
                <w:lang w:val="en-US" w:eastAsia="ja-JP"/>
              </w:rPr>
            </w:pPr>
            <w:r w:rsidRPr="007B4360">
              <w:rPr>
                <w:rFonts w:ascii="Calibri" w:eastAsia="Arial Unicode MS" w:hAnsi="Calibri" w:cs="Arial"/>
                <w:color w:val="000000"/>
                <w:kern w:val="24"/>
                <w:sz w:val="18"/>
                <w:szCs w:val="18"/>
                <w:lang w:val="en-US" w:eastAsia="ja-JP"/>
              </w:rPr>
              <w:t>0.03</w:t>
            </w:r>
          </w:p>
        </w:tc>
      </w:tr>
    </w:tbl>
    <w:p w:rsidR="00786BAA" w:rsidRPr="00786BAA" w:rsidRDefault="007B4360" w:rsidP="007B4360">
      <w:pPr>
        <w:pStyle w:val="Caption"/>
        <w:jc w:val="center"/>
      </w:pPr>
      <w:bookmarkStart w:id="3" w:name="_Ref506558179"/>
      <w:r>
        <w:t xml:space="preserve">Table </w:t>
      </w:r>
      <w:fldSimple w:instr=" SEQ Table \* ARABIC ">
        <w:r w:rsidR="00DE33C5">
          <w:rPr>
            <w:noProof/>
          </w:rPr>
          <w:t>2</w:t>
        </w:r>
      </w:fldSimple>
      <w:bookmarkEnd w:id="3"/>
      <w:r>
        <w:t>. Summary of layer properties used in the simulations</w:t>
      </w:r>
    </w:p>
    <w:p w:rsidR="00E62130" w:rsidRDefault="00D630FC" w:rsidP="00A23C09">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Result</w:t>
      </w:r>
    </w:p>
    <w:p w:rsidR="00D630FC" w:rsidRPr="00D630FC" w:rsidRDefault="00D630FC" w:rsidP="00314724">
      <w:pPr>
        <w:pStyle w:val="Heading2"/>
        <w:rPr>
          <w:lang w:val="en-US"/>
        </w:rPr>
      </w:pPr>
      <w:r>
        <w:rPr>
          <w:lang w:val="en-US"/>
        </w:rPr>
        <w:t>Impact of Back Cover Material</w:t>
      </w:r>
      <w:r w:rsidR="00314724" w:rsidRPr="00314724">
        <w:rPr>
          <w:lang w:val="en-US"/>
        </w:rPr>
        <w:t xml:space="preserve"> – </w:t>
      </w:r>
      <w:r w:rsidRPr="00D630FC">
        <w:rPr>
          <w:bCs/>
        </w:rPr>
        <w:t>Glass v</w:t>
      </w:r>
      <w:r>
        <w:rPr>
          <w:bCs/>
        </w:rPr>
        <w:t>s.</w:t>
      </w:r>
      <w:r w:rsidRPr="00D630FC">
        <w:rPr>
          <w:bCs/>
        </w:rPr>
        <w:t xml:space="preserve"> Plastic</w:t>
      </w:r>
    </w:p>
    <w:p w:rsidR="00314724" w:rsidRDefault="00314724" w:rsidP="00A23C09">
      <w:pPr>
        <w:pStyle w:val="BodyText"/>
        <w:rPr>
          <w:lang w:val="en-US"/>
        </w:rPr>
      </w:pPr>
      <w:r>
        <w:rPr>
          <w:lang w:val="en-US"/>
        </w:rPr>
        <w:t xml:space="preserve">Glass versus plastic back cover material is shown in </w:t>
      </w:r>
      <w:r w:rsidR="000E5FCC">
        <w:rPr>
          <w:lang w:val="en-US"/>
        </w:rPr>
        <w:fldChar w:fldCharType="begin"/>
      </w:r>
      <w:r w:rsidR="000E5FCC">
        <w:rPr>
          <w:lang w:val="en-US"/>
        </w:rPr>
        <w:instrText xml:space="preserve"> REF _Ref506560141 \h </w:instrText>
      </w:r>
      <w:r w:rsidR="000E5FCC">
        <w:rPr>
          <w:lang w:val="en-US"/>
        </w:rPr>
      </w:r>
      <w:r w:rsidR="000E5FCC">
        <w:rPr>
          <w:lang w:val="en-US"/>
        </w:rPr>
        <w:fldChar w:fldCharType="separate"/>
      </w:r>
      <w:r w:rsidR="000E5FCC">
        <w:t xml:space="preserve">Figure </w:t>
      </w:r>
      <w:r w:rsidR="000E5FCC">
        <w:rPr>
          <w:noProof/>
        </w:rPr>
        <w:t>2</w:t>
      </w:r>
      <w:r w:rsidR="000E5FCC">
        <w:rPr>
          <w:lang w:val="en-US"/>
        </w:rPr>
        <w:fldChar w:fldCharType="end"/>
      </w:r>
      <w:r w:rsidR="00BE6EDD">
        <w:rPr>
          <w:lang w:val="en-US"/>
        </w:rPr>
        <w:t xml:space="preserve"> in the 3-</w:t>
      </w:r>
      <w:r w:rsidR="000E5FCC">
        <w:rPr>
          <w:lang w:val="en-US"/>
        </w:rPr>
        <w:t xml:space="preserve">antenna array example (assumption 6 vs. assumption 7). Note that all 3 antennas are mounted in the back. </w:t>
      </w:r>
      <w:r>
        <w:rPr>
          <w:lang w:val="en-US"/>
        </w:rPr>
        <w:t xml:space="preserve"> </w:t>
      </w:r>
    </w:p>
    <w:p w:rsidR="00DD78D4" w:rsidRDefault="00DD78D4" w:rsidP="00A23C09">
      <w:pPr>
        <w:pStyle w:val="BodyText"/>
        <w:rPr>
          <w:lang w:val="en-US"/>
        </w:rPr>
      </w:pPr>
      <w:r>
        <w:rPr>
          <w:lang w:val="en-US"/>
        </w:rPr>
        <w:t>It can be seen that the peak value is only affected marginally but the lower percentile</w:t>
      </w:r>
      <w:r w:rsidR="00A5558B">
        <w:rPr>
          <w:lang w:val="en-US"/>
        </w:rPr>
        <w:t>s</w:t>
      </w:r>
      <w:r>
        <w:rPr>
          <w:lang w:val="en-US"/>
        </w:rPr>
        <w:t xml:space="preserve"> </w:t>
      </w:r>
      <w:r w:rsidR="00A5558B">
        <w:rPr>
          <w:lang w:val="en-US"/>
        </w:rPr>
        <w:t>are</w:t>
      </w:r>
      <w:r>
        <w:rPr>
          <w:lang w:val="en-US"/>
        </w:rPr>
        <w:t xml:space="preserve"> degraded substantially</w:t>
      </w:r>
      <w:r w:rsidR="00A5558B">
        <w:rPr>
          <w:lang w:val="en-US"/>
        </w:rPr>
        <w:t xml:space="preserve"> by the</w:t>
      </w:r>
      <w:r w:rsidR="00CC1C70">
        <w:rPr>
          <w:lang w:val="en-US"/>
        </w:rPr>
        <w:t xml:space="preserve"> high loss glass material</w:t>
      </w:r>
      <w:r w:rsidR="00BE6EDD">
        <w:rPr>
          <w:lang w:val="en-US"/>
        </w:rPr>
        <w:t xml:space="preserve"> compared to plastic</w:t>
      </w:r>
      <w:r>
        <w:rPr>
          <w:lang w:val="en-US"/>
        </w:rPr>
        <w:t xml:space="preserve">. </w:t>
      </w:r>
      <w:r w:rsidR="00CC1C70">
        <w:rPr>
          <w:lang w:val="en-US"/>
        </w:rPr>
        <w:t>The same trend is seen for other number of antennas (e.g. assumption 1 vs. 2 or assumption 3 vs. 5)</w:t>
      </w:r>
    </w:p>
    <w:p w:rsidR="000C5567" w:rsidRDefault="00043435" w:rsidP="000C5567">
      <w:r>
        <w:rPr>
          <w:b/>
          <w:lang w:val="en-US"/>
        </w:rPr>
        <w:t>Observation 1:</w:t>
      </w:r>
      <w:r w:rsidR="000C5567" w:rsidRPr="007941B7">
        <w:rPr>
          <w:b/>
          <w:lang w:val="en-US"/>
        </w:rPr>
        <w:t xml:space="preserve"> Implementation loss due to </w:t>
      </w:r>
      <w:r w:rsidR="00623CB4">
        <w:rPr>
          <w:b/>
          <w:lang w:val="en-US"/>
        </w:rPr>
        <w:t xml:space="preserve">high-loss glass is 1 – 2 </w:t>
      </w:r>
      <w:r w:rsidR="00CC1C70">
        <w:rPr>
          <w:b/>
          <w:lang w:val="en-US"/>
        </w:rPr>
        <w:t>dB higher compared to plastic cover material</w:t>
      </w:r>
      <w:r w:rsidR="00623CB4">
        <w:rPr>
          <w:b/>
          <w:lang w:val="en-US"/>
        </w:rPr>
        <w:t>.</w:t>
      </w:r>
    </w:p>
    <w:p w:rsidR="00697C3A" w:rsidRDefault="00314724" w:rsidP="000E5FCC">
      <w:pPr>
        <w:pStyle w:val="BodyText"/>
        <w:jc w:val="center"/>
        <w:rPr>
          <w:lang w:val="en-US"/>
        </w:rPr>
      </w:pPr>
      <w:r>
        <w:rPr>
          <w:noProof/>
          <w:lang w:val="en-US" w:eastAsia="ja-JP"/>
        </w:rPr>
        <w:lastRenderedPageBreak/>
        <w:drawing>
          <wp:inline distT="0" distB="0" distL="0" distR="0" wp14:anchorId="0D19F59E">
            <wp:extent cx="4141347" cy="2565751"/>
            <wp:effectExtent l="0" t="0" r="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6735" cy="2575284"/>
                    </a:xfrm>
                    <a:prstGeom prst="rect">
                      <a:avLst/>
                    </a:prstGeom>
                    <a:noFill/>
                  </pic:spPr>
                </pic:pic>
              </a:graphicData>
            </a:graphic>
          </wp:inline>
        </w:drawing>
      </w:r>
    </w:p>
    <w:p w:rsidR="000E5FCC" w:rsidRDefault="000E5FCC" w:rsidP="000E5FCC">
      <w:pPr>
        <w:pStyle w:val="Caption"/>
        <w:jc w:val="center"/>
      </w:pPr>
      <w:bookmarkStart w:id="4" w:name="_Ref506560141"/>
      <w:r>
        <w:t xml:space="preserve">Figure </w:t>
      </w:r>
      <w:fldSimple w:instr=" SEQ Figure \* ARABIC ">
        <w:r w:rsidR="00D85902">
          <w:rPr>
            <w:noProof/>
          </w:rPr>
          <w:t>2</w:t>
        </w:r>
      </w:fldSimple>
      <w:bookmarkEnd w:id="4"/>
      <w:r>
        <w:t xml:space="preserve">. </w:t>
      </w:r>
      <w:r w:rsidRPr="000E5FCC">
        <w:t>Impact of Back Cover Material</w:t>
      </w:r>
      <w:r>
        <w:t>.</w:t>
      </w:r>
    </w:p>
    <w:p w:rsidR="00CC1C70" w:rsidRDefault="00CC1C70" w:rsidP="00CC1C70">
      <w:pPr>
        <w:pStyle w:val="Heading2"/>
      </w:pPr>
      <w:r w:rsidRPr="00CC1C70">
        <w:t xml:space="preserve">Number of </w:t>
      </w:r>
      <w:r>
        <w:rPr>
          <w:lang w:val="en-US"/>
        </w:rPr>
        <w:t>A</w:t>
      </w:r>
      <w:r w:rsidRPr="00CC1C70">
        <w:rPr>
          <w:lang w:val="en-US"/>
        </w:rPr>
        <w:t>ntenna</w:t>
      </w:r>
      <w:r>
        <w:t xml:space="preserve"> A</w:t>
      </w:r>
      <w:r w:rsidRPr="00CC1C70">
        <w:t>rrays</w:t>
      </w:r>
    </w:p>
    <w:p w:rsidR="00CC1C70" w:rsidRDefault="00CC1C70" w:rsidP="00CC1C70">
      <w:pPr>
        <w:pStyle w:val="BodyText"/>
      </w:pPr>
      <w:r>
        <w:t xml:space="preserve">The number of antenna arrays are studied in </w:t>
      </w:r>
      <w:r w:rsidR="00894B97">
        <w:fldChar w:fldCharType="begin"/>
      </w:r>
      <w:r w:rsidR="00894B97">
        <w:instrText xml:space="preserve"> REF _Ref506561971 \h </w:instrText>
      </w:r>
      <w:r w:rsidR="00894B97">
        <w:fldChar w:fldCharType="separate"/>
      </w:r>
      <w:r w:rsidR="00894B97">
        <w:t xml:space="preserve">Figure </w:t>
      </w:r>
      <w:r w:rsidR="00894B97">
        <w:rPr>
          <w:noProof/>
        </w:rPr>
        <w:t>3</w:t>
      </w:r>
      <w:r w:rsidR="00894B97">
        <w:fldChar w:fldCharType="end"/>
      </w:r>
      <w:r w:rsidR="00894B97">
        <w:t xml:space="preserve"> for both plastic and glass back cover. Note that all antenna arrays are in the back</w:t>
      </w:r>
      <w:r w:rsidR="00623CB4">
        <w:t xml:space="preserve"> in this comparison</w:t>
      </w:r>
      <w:r w:rsidR="00894B97">
        <w:t>. The following observations are done:</w:t>
      </w:r>
    </w:p>
    <w:p w:rsidR="00894B97" w:rsidRPr="00894B97" w:rsidRDefault="00894B97" w:rsidP="00894B97">
      <w:pPr>
        <w:rPr>
          <w:b/>
          <w:lang w:val="en-US"/>
        </w:rPr>
      </w:pPr>
      <w:r>
        <w:rPr>
          <w:b/>
          <w:lang w:val="en-US"/>
        </w:rPr>
        <w:t>Observation 2: There is n</w:t>
      </w:r>
      <w:r w:rsidRPr="00894B97">
        <w:rPr>
          <w:b/>
          <w:lang w:val="en-US"/>
        </w:rPr>
        <w:t>o significant difference in free space between 2 and 3 arrays when facing in the same direction. Single antenna</w:t>
      </w:r>
      <w:r w:rsidR="00623CB4">
        <w:rPr>
          <w:b/>
          <w:lang w:val="en-US"/>
        </w:rPr>
        <w:t xml:space="preserve"> has </w:t>
      </w:r>
      <w:r w:rsidRPr="00894B97">
        <w:rPr>
          <w:b/>
          <w:lang w:val="en-US"/>
        </w:rPr>
        <w:t>~1dB worse spherical performance</w:t>
      </w:r>
      <w:r>
        <w:rPr>
          <w:b/>
          <w:lang w:val="en-US"/>
        </w:rPr>
        <w:t>.</w:t>
      </w:r>
      <w:r w:rsidRPr="00894B97">
        <w:rPr>
          <w:b/>
          <w:lang w:val="en-US"/>
        </w:rPr>
        <w:t xml:space="preserve"> </w:t>
      </w:r>
    </w:p>
    <w:p w:rsidR="00894B97" w:rsidRPr="00894B97" w:rsidRDefault="00894B97" w:rsidP="00894B97">
      <w:pPr>
        <w:rPr>
          <w:b/>
          <w:lang w:val="en-US"/>
        </w:rPr>
      </w:pPr>
      <w:r w:rsidRPr="00894B97">
        <w:rPr>
          <w:b/>
          <w:lang w:val="en-US"/>
        </w:rPr>
        <w:t>Observation 3: The same trend is seen regardless of plastic or glass cover</w:t>
      </w:r>
      <w:r>
        <w:rPr>
          <w:b/>
          <w:lang w:val="en-US"/>
        </w:rPr>
        <w:t>.</w:t>
      </w:r>
    </w:p>
    <w:p w:rsidR="00894B97" w:rsidRPr="00894B97" w:rsidRDefault="00894B97" w:rsidP="00894B97">
      <w:pPr>
        <w:rPr>
          <w:b/>
          <w:lang w:val="en-US"/>
        </w:rPr>
      </w:pPr>
      <w:r w:rsidRPr="00894B97">
        <w:rPr>
          <w:b/>
          <w:lang w:val="en-US"/>
        </w:rPr>
        <w:t>Observation 4: Hand and body blockage could possibly motivate higher number of antenna arrays</w:t>
      </w:r>
      <w:r>
        <w:rPr>
          <w:b/>
          <w:lang w:val="en-US"/>
        </w:rPr>
        <w:t>.</w:t>
      </w:r>
    </w:p>
    <w:p w:rsidR="00CC1C70" w:rsidRDefault="00CC1C70" w:rsidP="00CC1C70">
      <w:pPr>
        <w:pStyle w:val="BodyText"/>
      </w:pPr>
    </w:p>
    <w:p w:rsidR="00CC1C70" w:rsidRDefault="00875697" w:rsidP="00CC1C70">
      <w:pPr>
        <w:pStyle w:val="BodyText"/>
      </w:pPr>
      <w:r>
        <w:rPr>
          <w:noProof/>
          <w:lang w:val="en-US" w:eastAsia="ja-JP"/>
        </w:rPr>
        <w:drawing>
          <wp:inline distT="0" distB="0" distL="0" distR="0" wp14:anchorId="472E70DC">
            <wp:extent cx="6243046" cy="2538484"/>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4637"/>
                    <a:stretch/>
                  </pic:blipFill>
                  <pic:spPr bwMode="auto">
                    <a:xfrm>
                      <a:off x="0" y="0"/>
                      <a:ext cx="6266154" cy="2547880"/>
                    </a:xfrm>
                    <a:prstGeom prst="rect">
                      <a:avLst/>
                    </a:prstGeom>
                    <a:noFill/>
                    <a:ln>
                      <a:noFill/>
                    </a:ln>
                    <a:extLst>
                      <a:ext uri="{53640926-AAD7-44D8-BBD7-CCE9431645EC}">
                        <a14:shadowObscured xmlns:a14="http://schemas.microsoft.com/office/drawing/2010/main"/>
                      </a:ext>
                    </a:extLst>
                  </pic:spPr>
                </pic:pic>
              </a:graphicData>
            </a:graphic>
          </wp:inline>
        </w:drawing>
      </w:r>
    </w:p>
    <w:p w:rsidR="00CC1C70" w:rsidRDefault="00CC1C70" w:rsidP="00894B97">
      <w:pPr>
        <w:pStyle w:val="Caption"/>
        <w:jc w:val="center"/>
      </w:pPr>
      <w:bookmarkStart w:id="5" w:name="_Ref506561971"/>
      <w:r>
        <w:t xml:space="preserve">Figure </w:t>
      </w:r>
      <w:fldSimple w:instr=" SEQ Figure \* ARABIC ">
        <w:r w:rsidR="00D85902">
          <w:rPr>
            <w:noProof/>
          </w:rPr>
          <w:t>3</w:t>
        </w:r>
      </w:fldSimple>
      <w:bookmarkEnd w:id="5"/>
      <w:r>
        <w:t xml:space="preserve">. </w:t>
      </w:r>
      <w:r w:rsidRPr="00CC1C70">
        <w:t>Number of Antenna Arrays</w:t>
      </w:r>
      <w:r>
        <w:t>. a</w:t>
      </w:r>
      <w:r w:rsidR="00894B97">
        <w:t>. Plastic back cover. b. Glass back cover.</w:t>
      </w:r>
    </w:p>
    <w:p w:rsidR="00894B97" w:rsidRDefault="00894B97" w:rsidP="00894B97"/>
    <w:p w:rsidR="00894B97" w:rsidRDefault="00D66372" w:rsidP="00D66372">
      <w:pPr>
        <w:pStyle w:val="Heading2"/>
      </w:pPr>
      <w:r>
        <w:t>Single-side A</w:t>
      </w:r>
      <w:r w:rsidRPr="00D66372">
        <w:t>nte</w:t>
      </w:r>
      <w:r>
        <w:t>nnas Arrays v</w:t>
      </w:r>
      <w:r w:rsidRPr="00D66372">
        <w:t>s</w:t>
      </w:r>
      <w:r>
        <w:t>. 2-side A</w:t>
      </w:r>
      <w:r w:rsidRPr="00D66372">
        <w:t>rrays</w:t>
      </w:r>
    </w:p>
    <w:p w:rsidR="00D66372" w:rsidRDefault="00D66372" w:rsidP="00D66372">
      <w:pPr>
        <w:pStyle w:val="BodyText"/>
      </w:pPr>
      <w:r>
        <w:t>Single-</w:t>
      </w:r>
      <w:r w:rsidRPr="00D66372">
        <w:t>si</w:t>
      </w:r>
      <w:r>
        <w:t xml:space="preserve">de antennas arrays </w:t>
      </w:r>
      <w:r w:rsidR="00D85902">
        <w:t xml:space="preserve">(backside only) </w:t>
      </w:r>
      <w:r>
        <w:t>versus</w:t>
      </w:r>
      <w:r w:rsidRPr="00D66372">
        <w:t xml:space="preserve"> </w:t>
      </w:r>
      <w:r>
        <w:t xml:space="preserve">antenna </w:t>
      </w:r>
      <w:r w:rsidRPr="00D66372">
        <w:t>arrays</w:t>
      </w:r>
      <w:r>
        <w:t xml:space="preserve"> on both front and back is studied in </w:t>
      </w:r>
      <w:r w:rsidR="00D85902">
        <w:fldChar w:fldCharType="begin"/>
      </w:r>
      <w:r w:rsidR="00D85902">
        <w:instrText xml:space="preserve"> REF _Ref506562631 \h </w:instrText>
      </w:r>
      <w:r w:rsidR="00D85902">
        <w:fldChar w:fldCharType="separate"/>
      </w:r>
      <w:r w:rsidR="00D85902">
        <w:t xml:space="preserve">Figure </w:t>
      </w:r>
      <w:r w:rsidR="00D85902">
        <w:rPr>
          <w:noProof/>
        </w:rPr>
        <w:t>4</w:t>
      </w:r>
      <w:r w:rsidR="00D85902">
        <w:fldChar w:fldCharType="end"/>
      </w:r>
      <w:r w:rsidR="00D85902">
        <w:t xml:space="preserve"> leading to:</w:t>
      </w:r>
    </w:p>
    <w:p w:rsidR="00D85902" w:rsidRPr="00D85902" w:rsidRDefault="00D85902" w:rsidP="00D85902">
      <w:pPr>
        <w:rPr>
          <w:b/>
          <w:lang w:val="en-US"/>
        </w:rPr>
      </w:pPr>
      <w:r>
        <w:rPr>
          <w:b/>
          <w:lang w:val="en-US"/>
        </w:rPr>
        <w:t>Observation 5: There is a s</w:t>
      </w:r>
      <w:r w:rsidRPr="00D85902">
        <w:rPr>
          <w:b/>
          <w:lang w:val="en-US"/>
        </w:rPr>
        <w:t>ignificant improvement in spherical coverage with front + back antenna arrays</w:t>
      </w:r>
      <w:r>
        <w:rPr>
          <w:b/>
          <w:lang w:val="en-US"/>
        </w:rPr>
        <w:t xml:space="preserve"> vs. back-side arrays only.</w:t>
      </w:r>
    </w:p>
    <w:p w:rsidR="00D85902" w:rsidRPr="00D85902" w:rsidRDefault="00D85902" w:rsidP="00D66372">
      <w:pPr>
        <w:pStyle w:val="BodyText"/>
        <w:rPr>
          <w:lang w:val="en-US"/>
        </w:rPr>
      </w:pPr>
    </w:p>
    <w:p w:rsidR="00D85902" w:rsidRDefault="00D85902" w:rsidP="00D85902">
      <w:pPr>
        <w:pStyle w:val="BodyText"/>
        <w:jc w:val="center"/>
      </w:pPr>
      <w:r>
        <w:rPr>
          <w:noProof/>
          <w:lang w:val="en-US" w:eastAsia="ja-JP"/>
        </w:rPr>
        <w:lastRenderedPageBreak/>
        <w:drawing>
          <wp:inline distT="0" distB="0" distL="0" distR="0" wp14:anchorId="473D708C">
            <wp:extent cx="4276793" cy="242055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9755" cy="2433551"/>
                    </a:xfrm>
                    <a:prstGeom prst="rect">
                      <a:avLst/>
                    </a:prstGeom>
                    <a:noFill/>
                  </pic:spPr>
                </pic:pic>
              </a:graphicData>
            </a:graphic>
          </wp:inline>
        </w:drawing>
      </w:r>
    </w:p>
    <w:p w:rsidR="00D85902" w:rsidRDefault="00D85902" w:rsidP="00D85902">
      <w:pPr>
        <w:pStyle w:val="Caption"/>
        <w:jc w:val="center"/>
      </w:pPr>
      <w:bookmarkStart w:id="6" w:name="_Ref506562631"/>
      <w:r>
        <w:t xml:space="preserve">Figure </w:t>
      </w:r>
      <w:fldSimple w:instr=" SEQ Figure \* ARABIC ">
        <w:r>
          <w:rPr>
            <w:noProof/>
          </w:rPr>
          <w:t>4</w:t>
        </w:r>
      </w:fldSimple>
      <w:bookmarkEnd w:id="6"/>
      <w:r>
        <w:t>. Single-</w:t>
      </w:r>
      <w:r w:rsidRPr="00D85902">
        <w:t>side antennas arrays versus 2-side arrays</w:t>
      </w:r>
    </w:p>
    <w:p w:rsidR="00D85902" w:rsidRDefault="00D85902" w:rsidP="00D85902">
      <w:pPr>
        <w:pStyle w:val="Heading2"/>
      </w:pPr>
      <w:r>
        <w:t>Summary</w:t>
      </w:r>
    </w:p>
    <w:p w:rsidR="00D85902" w:rsidRDefault="00D85902" w:rsidP="00D85902">
      <w:pPr>
        <w:pStyle w:val="BodyText"/>
      </w:pPr>
      <w:r>
        <w:t xml:space="preserve">All simulated assumptions are summarized in </w:t>
      </w:r>
      <w:r w:rsidR="00DE33C5">
        <w:fldChar w:fldCharType="begin"/>
      </w:r>
      <w:r w:rsidR="00DE33C5">
        <w:instrText xml:space="preserve"> REF _Ref506563865 \h </w:instrText>
      </w:r>
      <w:r w:rsidR="00DE33C5">
        <w:fldChar w:fldCharType="separate"/>
      </w:r>
      <w:r w:rsidR="00DE33C5">
        <w:t xml:space="preserve">Figure </w:t>
      </w:r>
      <w:r w:rsidR="00DE33C5">
        <w:rPr>
          <w:noProof/>
        </w:rPr>
        <w:t>5</w:t>
      </w:r>
      <w:r w:rsidR="00DE33C5">
        <w:fldChar w:fldCharType="end"/>
      </w:r>
      <w:r w:rsidR="00DE33C5">
        <w:t xml:space="preserve"> and </w:t>
      </w:r>
      <w:r w:rsidR="00DE33C5">
        <w:fldChar w:fldCharType="begin"/>
      </w:r>
      <w:r w:rsidR="00DE33C5">
        <w:instrText xml:space="preserve"> REF _Ref506563882 \h </w:instrText>
      </w:r>
      <w:r w:rsidR="00DE33C5">
        <w:fldChar w:fldCharType="separate"/>
      </w:r>
      <w:r w:rsidR="00DE33C5">
        <w:t xml:space="preserve">Table </w:t>
      </w:r>
      <w:r w:rsidR="00DE33C5">
        <w:rPr>
          <w:noProof/>
        </w:rPr>
        <w:t>3</w:t>
      </w:r>
      <w:r w:rsidR="00DE33C5">
        <w:fldChar w:fldCharType="end"/>
      </w:r>
      <w:r w:rsidR="00DE33C5">
        <w:t xml:space="preserve">. Note that </w:t>
      </w:r>
      <w:r w:rsidR="00DE33C5" w:rsidRPr="00DE33C5">
        <w:sym w:font="Symbol" w:char="F044"/>
      </w:r>
      <w:r w:rsidR="00DE33C5" w:rsidRPr="00DE33C5">
        <w:t xml:space="preserve"> EIRP @ %-tile </w:t>
      </w:r>
      <w:r w:rsidR="00DE33C5">
        <w:t xml:space="preserve">in </w:t>
      </w:r>
      <w:r w:rsidR="00DE33C5">
        <w:fldChar w:fldCharType="begin"/>
      </w:r>
      <w:r w:rsidR="00DE33C5">
        <w:instrText xml:space="preserve"> REF _Ref506563882 \h </w:instrText>
      </w:r>
      <w:r w:rsidR="00DE33C5">
        <w:fldChar w:fldCharType="separate"/>
      </w:r>
      <w:r w:rsidR="00DE33C5">
        <w:t xml:space="preserve">Table </w:t>
      </w:r>
      <w:r w:rsidR="00DE33C5">
        <w:rPr>
          <w:noProof/>
        </w:rPr>
        <w:t>3</w:t>
      </w:r>
      <w:r w:rsidR="00DE33C5">
        <w:fldChar w:fldCharType="end"/>
      </w:r>
      <w:r w:rsidR="00DE33C5">
        <w:t xml:space="preserve"> </w:t>
      </w:r>
      <w:r w:rsidR="00DE33C5" w:rsidRPr="00DE33C5">
        <w:t xml:space="preserve">refers to </w:t>
      </w:r>
      <w:r w:rsidR="00DE33C5">
        <w:t xml:space="preserve">the </w:t>
      </w:r>
      <w:r w:rsidR="00DE33C5" w:rsidRPr="00DE33C5">
        <w:t>99.9%-tile point</w:t>
      </w:r>
      <w:r w:rsidR="00DE33C5">
        <w:t xml:space="preserve"> which is dependent on assumption </w:t>
      </w:r>
      <w:r w:rsidR="00DE33C5" w:rsidRPr="00DE33C5">
        <w:t>(~1dB difference)</w:t>
      </w:r>
      <w:r w:rsidR="00DE33C5">
        <w:t>.</w:t>
      </w:r>
    </w:p>
    <w:p w:rsidR="00D85902" w:rsidRDefault="002C39C1" w:rsidP="00DE33C5">
      <w:pPr>
        <w:pStyle w:val="BodyText"/>
        <w:jc w:val="center"/>
      </w:pPr>
      <w:r>
        <w:rPr>
          <w:noProof/>
          <w:lang w:val="en-US" w:eastAsia="ja-JP"/>
        </w:rPr>
        <w:drawing>
          <wp:inline distT="0" distB="0" distL="0" distR="0" wp14:anchorId="29CA1C18">
            <wp:extent cx="4676358" cy="2674893"/>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2436" cy="2684090"/>
                    </a:xfrm>
                    <a:prstGeom prst="rect">
                      <a:avLst/>
                    </a:prstGeom>
                    <a:noFill/>
                  </pic:spPr>
                </pic:pic>
              </a:graphicData>
            </a:graphic>
          </wp:inline>
        </w:drawing>
      </w:r>
    </w:p>
    <w:p w:rsidR="00D85902" w:rsidRDefault="00D85902" w:rsidP="003123EC">
      <w:pPr>
        <w:pStyle w:val="Caption"/>
        <w:spacing w:after="120"/>
        <w:jc w:val="center"/>
      </w:pPr>
      <w:bookmarkStart w:id="7" w:name="_Ref506563865"/>
      <w:r>
        <w:t xml:space="preserve">Figure </w:t>
      </w:r>
      <w:fldSimple w:instr=" SEQ Figure \* ARABIC ">
        <w:r>
          <w:rPr>
            <w:noProof/>
          </w:rPr>
          <w:t>5</w:t>
        </w:r>
      </w:fldSimple>
      <w:bookmarkEnd w:id="7"/>
      <w:r>
        <w:t>. Spherical coverage as CDF simulated on a realistic handheld UE (smartphone) layout.</w:t>
      </w:r>
    </w:p>
    <w:tbl>
      <w:tblPr>
        <w:tblpPr w:leftFromText="180" w:rightFromText="180" w:vertAnchor="text" w:horzAnchor="margin" w:tblpY="135"/>
        <w:tblW w:w="9809" w:type="dxa"/>
        <w:tblCellMar>
          <w:left w:w="0" w:type="dxa"/>
          <w:right w:w="0" w:type="dxa"/>
        </w:tblCellMar>
        <w:tblLook w:val="0600" w:firstRow="0" w:lastRow="0" w:firstColumn="0" w:lastColumn="0" w:noHBand="1" w:noVBand="1"/>
      </w:tblPr>
      <w:tblGrid>
        <w:gridCol w:w="1371"/>
        <w:gridCol w:w="939"/>
        <w:gridCol w:w="857"/>
        <w:gridCol w:w="856"/>
        <w:gridCol w:w="856"/>
        <w:gridCol w:w="856"/>
        <w:gridCol w:w="856"/>
        <w:gridCol w:w="856"/>
        <w:gridCol w:w="753"/>
        <w:gridCol w:w="856"/>
        <w:gridCol w:w="753"/>
      </w:tblGrid>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Assumption</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3GPP 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3GPP 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3GPP 3</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3GPP 4</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3GPP 5</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3GPP 6</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6*</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3GPP 7</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7*</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Display</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Partial / Full</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F</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F</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F</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F</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F</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F</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w:t>
            </w:r>
          </w:p>
        </w:tc>
      </w:tr>
      <w:tr w:rsidR="003123EC" w:rsidRPr="00AD2416" w:rsidTr="003123EC">
        <w:trPr>
          <w:trHeight w:val="20"/>
        </w:trPr>
        <w:tc>
          <w:tcPr>
            <w:tcW w:w="1371" w:type="dxa"/>
            <w:vMerge w:val="restart"/>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N</w:t>
            </w:r>
            <w:r w:rsidRPr="00AD2416">
              <w:rPr>
                <w:rFonts w:ascii="Calibri" w:eastAsia="Batang" w:hAnsi="Calibri" w:cs="Arial"/>
                <w:b/>
                <w:bCs/>
                <w:color w:val="000000" w:themeColor="text1"/>
                <w:kern w:val="24"/>
                <w:position w:val="4"/>
                <w:sz w:val="14"/>
                <w:szCs w:val="36"/>
                <w:u w:val="single"/>
                <w:lang w:val="en-US" w:eastAsia="ja-JP"/>
              </w:rPr>
              <w:t>o</w:t>
            </w:r>
            <w:r w:rsidRPr="00AD2416">
              <w:rPr>
                <w:rFonts w:ascii="Calibri" w:eastAsia="Batang" w:hAnsi="Calibri" w:cs="Arial"/>
                <w:b/>
                <w:bCs/>
                <w:color w:val="000000" w:themeColor="text1"/>
                <w:kern w:val="24"/>
                <w:sz w:val="16"/>
                <w:szCs w:val="28"/>
                <w:lang w:val="en-US" w:eastAsia="ja-JP"/>
              </w:rPr>
              <w:t xml:space="preserve"> antenna arrays</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Back side</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3</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3</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2</w:t>
            </w:r>
          </w:p>
        </w:tc>
      </w:tr>
      <w:tr w:rsidR="003123EC" w:rsidRPr="00AD2416" w:rsidTr="003123EC">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123EC" w:rsidRPr="00AD2416" w:rsidRDefault="003123EC" w:rsidP="003123EC">
            <w:pPr>
              <w:rPr>
                <w:rFonts w:ascii="Arial" w:eastAsia="Times New Roman" w:hAnsi="Arial" w:cs="Arial"/>
                <w:sz w:val="16"/>
                <w:szCs w:val="36"/>
                <w:lang w:val="en-US" w:eastAsia="ja-JP"/>
              </w:rPr>
            </w:pP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Front side</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ascii="Arial" w:eastAsia="Times New Roman" w:hAnsi="Arial" w:cs="Arial"/>
                <w:sz w:val="16"/>
                <w:szCs w:val="3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ascii="Arial" w:eastAsia="Times New Roman" w:hAnsi="Arial" w:cs="Arial"/>
                <w:sz w:val="16"/>
                <w:szCs w:val="3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ascii="Arial" w:eastAsia="Times New Roman" w:hAnsi="Arial" w:cs="Arial"/>
                <w:sz w:val="16"/>
                <w:szCs w:val="36"/>
                <w:lang w:val="en-US" w:eastAsia="ja-JP"/>
              </w:rPr>
            </w:pP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Side cover (cover material near antennas)</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Metal / Plastic</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M</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Back cover</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Glass / Plastic</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P</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b/>
                <w:bCs/>
                <w:color w:val="000000" w:themeColor="text1"/>
                <w:kern w:val="24"/>
                <w:sz w:val="16"/>
                <w:szCs w:val="28"/>
                <w:lang w:val="en-US" w:eastAsia="ja-JP"/>
              </w:rPr>
              <w:t>Front cover</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Glass / Plastic</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Pr>
                <w:noProof/>
                <w:lang w:val="en-US" w:eastAsia="ja-JP"/>
              </w:rPr>
              <w:drawing>
                <wp:anchor distT="0" distB="0" distL="114300" distR="114300" simplePos="0" relativeHeight="251661312" behindDoc="0" locked="0" layoutInCell="1" allowOverlap="1">
                  <wp:simplePos x="0" y="0"/>
                  <wp:positionH relativeFrom="column">
                    <wp:posOffset>-1280160</wp:posOffset>
                  </wp:positionH>
                  <wp:positionV relativeFrom="paragraph">
                    <wp:posOffset>106680</wp:posOffset>
                  </wp:positionV>
                  <wp:extent cx="2476500" cy="38163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0" cy="381635"/>
                          </a:xfrm>
                          <a:prstGeom prst="rect">
                            <a:avLst/>
                          </a:prstGeom>
                          <a:noFill/>
                        </pic:spPr>
                      </pic:pic>
                    </a:graphicData>
                  </a:graphic>
                  <wp14:sizeRelH relativeFrom="margin">
                    <wp14:pctWidth>0</wp14:pctWidth>
                  </wp14:sizeRelH>
                  <wp14:sizeRelV relativeFrom="margin">
                    <wp14:pctHeight>0</wp14:pctHeight>
                  </wp14:sizeRelV>
                </wp:anchor>
              </w:drawing>
            </w: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G</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Malgun Gothic" w:hAnsi="Calibri"/>
                <w:b/>
                <w:bCs/>
                <w:color w:val="000000" w:themeColor="text1"/>
                <w:kern w:val="24"/>
                <w:sz w:val="16"/>
                <w:szCs w:val="28"/>
                <w:lang w:val="en-US" w:eastAsia="ja-JP"/>
              </w:rPr>
              <w:t>EIRP @ 100%%-tile point</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dBm</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ascii="Arial" w:eastAsia="Times New Roman" w:hAnsi="Arial" w:cs="Arial"/>
                <w:sz w:val="16"/>
                <w:szCs w:val="3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rPr>
                <w:rFonts w:eastAsia="Times New Roman"/>
                <w:sz w:val="16"/>
                <w:lang w:val="en-US" w:eastAsia="ja-JP"/>
              </w:rPr>
            </w:pP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Malgun Gothic" w:hAnsi="Symbol" w:hint="eastAsia"/>
                <w:b/>
                <w:bCs/>
                <w:color w:val="000000" w:themeColor="text1"/>
                <w:kern w:val="24"/>
                <w:sz w:val="16"/>
                <w:szCs w:val="28"/>
                <w:lang w:val="en-US" w:eastAsia="ja-JP"/>
              </w:rPr>
              <w:sym w:font="Symbol" w:char="F044"/>
            </w:r>
            <w:r w:rsidRPr="00AD2416">
              <w:rPr>
                <w:rFonts w:ascii="Calibri" w:eastAsia="Malgun Gothic" w:hAnsi="Calibri"/>
                <w:b/>
                <w:bCs/>
                <w:color w:val="000000" w:themeColor="text1"/>
                <w:kern w:val="24"/>
                <w:sz w:val="16"/>
                <w:szCs w:val="28"/>
                <w:lang w:val="en-US" w:eastAsia="ja-JP"/>
              </w:rPr>
              <w:t xml:space="preserve"> EIRP @ 50%</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Gulim" w:hAnsi="Calibri" w:cs="Arial"/>
                <w:color w:val="000000" w:themeColor="text1"/>
                <w:kern w:val="24"/>
                <w:sz w:val="16"/>
                <w:szCs w:val="28"/>
                <w:lang w:val="en-US" w:eastAsia="ja-JP"/>
              </w:rPr>
              <w:t>dB</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13</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10</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13</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9</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10</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12</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7</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10</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7</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Malgun Gothic" w:hAnsi="Symbol" w:hint="eastAsia"/>
                <w:b/>
                <w:bCs/>
                <w:color w:val="000000" w:themeColor="text1"/>
                <w:kern w:val="24"/>
                <w:sz w:val="16"/>
                <w:szCs w:val="28"/>
                <w:lang w:val="en-US" w:eastAsia="ja-JP"/>
              </w:rPr>
              <w:sym w:font="Symbol" w:char="F044"/>
            </w:r>
            <w:r w:rsidRPr="00AD2416">
              <w:rPr>
                <w:rFonts w:ascii="Calibri" w:eastAsia="Malgun Gothic" w:hAnsi="Calibri"/>
                <w:b/>
                <w:bCs/>
                <w:color w:val="000000" w:themeColor="text1"/>
                <w:kern w:val="24"/>
                <w:sz w:val="16"/>
                <w:szCs w:val="28"/>
                <w:lang w:val="en-US" w:eastAsia="ja-JP"/>
              </w:rPr>
              <w:t xml:space="preserve"> EIRP @ 40%</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Gulim" w:hAnsi="Calibri" w:cs="Arial"/>
                <w:color w:val="000000" w:themeColor="text1"/>
                <w:kern w:val="24"/>
                <w:sz w:val="16"/>
                <w:szCs w:val="28"/>
                <w:lang w:val="en-US" w:eastAsia="ja-JP"/>
              </w:rPr>
              <w:t>dB</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15</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14</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10</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14</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9</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11</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8</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Malgun Gothic" w:hAnsi="Symbol" w:hint="eastAsia"/>
                <w:b/>
                <w:bCs/>
                <w:color w:val="000000" w:themeColor="text1"/>
                <w:kern w:val="24"/>
                <w:sz w:val="16"/>
                <w:szCs w:val="28"/>
                <w:lang w:val="en-US" w:eastAsia="ja-JP"/>
              </w:rPr>
              <w:sym w:font="Symbol" w:char="F044"/>
            </w:r>
            <w:r w:rsidRPr="00AD2416">
              <w:rPr>
                <w:rFonts w:ascii="Calibri" w:eastAsia="Malgun Gothic" w:hAnsi="Calibri"/>
                <w:b/>
                <w:bCs/>
                <w:color w:val="000000" w:themeColor="text1"/>
                <w:kern w:val="24"/>
                <w:sz w:val="16"/>
                <w:szCs w:val="28"/>
                <w:lang w:val="en-US" w:eastAsia="ja-JP"/>
              </w:rPr>
              <w:t xml:space="preserve"> EIRP @ 30%</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Gulim" w:hAnsi="Calibri" w:cs="Arial"/>
                <w:color w:val="000000" w:themeColor="text1"/>
                <w:kern w:val="24"/>
                <w:sz w:val="16"/>
                <w:szCs w:val="28"/>
                <w:lang w:val="en-US" w:eastAsia="ja-JP"/>
              </w:rPr>
              <w:t>dB</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16</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14</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16</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13</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16</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10</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13</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9</w:t>
            </w:r>
          </w:p>
        </w:tc>
      </w:tr>
      <w:tr w:rsidR="003123EC" w:rsidRPr="00AD2416" w:rsidTr="003123EC">
        <w:trPr>
          <w:trHeight w:val="20"/>
        </w:trPr>
        <w:tc>
          <w:tcPr>
            <w:tcW w:w="1371" w:type="dxa"/>
            <w:tcBorders>
              <w:top w:val="single" w:sz="8" w:space="0" w:color="000000"/>
              <w:left w:val="single" w:sz="8" w:space="0" w:color="000000"/>
              <w:bottom w:val="single" w:sz="8" w:space="0" w:color="000000"/>
              <w:right w:val="single" w:sz="8" w:space="0" w:color="000000"/>
            </w:tcBorders>
            <w:shd w:val="clear" w:color="auto" w:fill="FFC000"/>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Malgun Gothic" w:hAnsi="Symbol" w:hint="eastAsia"/>
                <w:b/>
                <w:bCs/>
                <w:color w:val="000000" w:themeColor="text1"/>
                <w:kern w:val="24"/>
                <w:sz w:val="16"/>
                <w:szCs w:val="28"/>
                <w:lang w:val="en-US" w:eastAsia="ja-JP"/>
              </w:rPr>
              <w:sym w:font="Symbol" w:char="F044"/>
            </w:r>
            <w:r w:rsidRPr="00AD2416">
              <w:rPr>
                <w:rFonts w:ascii="Calibri" w:eastAsia="Malgun Gothic" w:hAnsi="Calibri"/>
                <w:b/>
                <w:bCs/>
                <w:color w:val="000000" w:themeColor="text1"/>
                <w:kern w:val="24"/>
                <w:sz w:val="16"/>
                <w:szCs w:val="28"/>
                <w:lang w:val="en-US" w:eastAsia="ja-JP"/>
              </w:rPr>
              <w:t xml:space="preserve"> EIRP @ 20%</w:t>
            </w:r>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Gulim" w:hAnsi="Calibri" w:cs="Arial"/>
                <w:color w:val="000000" w:themeColor="text1"/>
                <w:kern w:val="24"/>
                <w:sz w:val="16"/>
                <w:szCs w:val="28"/>
                <w:lang w:val="en-US" w:eastAsia="ja-JP"/>
              </w:rPr>
              <w:t>dB</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18</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17</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18</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14</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15</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17</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11</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14</w:t>
            </w:r>
          </w:p>
        </w:tc>
        <w:tc>
          <w:tcPr>
            <w:tcW w:w="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123EC" w:rsidRPr="00AD2416" w:rsidRDefault="003123EC" w:rsidP="003123EC">
            <w:pPr>
              <w:jc w:val="center"/>
              <w:textAlignment w:val="center"/>
              <w:rPr>
                <w:rFonts w:ascii="Arial" w:eastAsia="Times New Roman" w:hAnsi="Arial" w:cs="Arial"/>
                <w:sz w:val="16"/>
                <w:szCs w:val="36"/>
                <w:lang w:val="en-US" w:eastAsia="ja-JP"/>
              </w:rPr>
            </w:pPr>
            <w:r w:rsidRPr="00AD2416">
              <w:rPr>
                <w:rFonts w:ascii="Calibri" w:eastAsia="Batang" w:hAnsi="Calibri" w:cs="Arial"/>
                <w:color w:val="000000" w:themeColor="text1"/>
                <w:kern w:val="24"/>
                <w:sz w:val="16"/>
                <w:szCs w:val="28"/>
                <w:lang w:val="en-US" w:eastAsia="ja-JP"/>
              </w:rPr>
              <w:t>10</w:t>
            </w:r>
          </w:p>
        </w:tc>
      </w:tr>
    </w:tbl>
    <w:p w:rsidR="00D85902" w:rsidRDefault="00DE33C5" w:rsidP="003123EC">
      <w:pPr>
        <w:pStyle w:val="Caption"/>
        <w:spacing w:before="60"/>
        <w:jc w:val="center"/>
      </w:pPr>
      <w:bookmarkStart w:id="8" w:name="_Ref506563882"/>
      <w:r>
        <w:t xml:space="preserve">Table </w:t>
      </w:r>
      <w:fldSimple w:instr=" SEQ Table \* ARABIC ">
        <w:r>
          <w:rPr>
            <w:noProof/>
          </w:rPr>
          <w:t>3</w:t>
        </w:r>
      </w:fldSimple>
      <w:bookmarkEnd w:id="8"/>
      <w:r>
        <w:t>. Summary of simulated spherical coverage for a realistic handheld UE (smartphone) layout.</w:t>
      </w:r>
    </w:p>
    <w:p w:rsidR="00D85902" w:rsidRPr="00D85902" w:rsidRDefault="00D85902" w:rsidP="00D85902">
      <w:pPr>
        <w:pStyle w:val="BodyText"/>
      </w:pPr>
    </w:p>
    <w:p w:rsidR="00D85902" w:rsidRPr="00D85902" w:rsidRDefault="00D85902" w:rsidP="00D85902"/>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lastRenderedPageBreak/>
        <w:t>Conclusion</w:t>
      </w:r>
    </w:p>
    <w:p w:rsidR="002C39C1" w:rsidRDefault="00A82DE8" w:rsidP="00A82DE8">
      <w:pPr>
        <w:pStyle w:val="BodyText"/>
        <w:rPr>
          <w:lang w:val="en-US"/>
        </w:rPr>
      </w:pPr>
      <w:r>
        <w:rPr>
          <w:lang w:val="en-US"/>
        </w:rPr>
        <w:t xml:space="preserve">The </w:t>
      </w:r>
      <w:r w:rsidR="002C39C1">
        <w:rPr>
          <w:lang w:val="en-US"/>
        </w:rPr>
        <w:t xml:space="preserve">spherical coverage of a handheld UE was simulated using CAD-files from an existing smartphone </w:t>
      </w:r>
      <w:r w:rsidR="000A0405">
        <w:rPr>
          <w:lang w:val="en-US"/>
        </w:rPr>
        <w:t>modified with patch antenna arrays for 28GHz. The following observations were made:</w:t>
      </w:r>
    </w:p>
    <w:p w:rsidR="000A0405" w:rsidRDefault="000A0405" w:rsidP="000A0405">
      <w:pPr>
        <w:ind w:left="1418" w:hanging="1418"/>
      </w:pPr>
      <w:r>
        <w:rPr>
          <w:b/>
          <w:lang w:val="en-US"/>
        </w:rPr>
        <w:t>Observation 1:</w:t>
      </w:r>
      <w:r w:rsidRPr="007941B7">
        <w:rPr>
          <w:b/>
          <w:lang w:val="en-US"/>
        </w:rPr>
        <w:t xml:space="preserve"> </w:t>
      </w:r>
      <w:r>
        <w:rPr>
          <w:b/>
          <w:lang w:val="en-US"/>
        </w:rPr>
        <w:tab/>
      </w:r>
      <w:r w:rsidR="00623CB4" w:rsidRPr="007941B7">
        <w:rPr>
          <w:b/>
          <w:lang w:val="en-US"/>
        </w:rPr>
        <w:t xml:space="preserve">Implementation loss due to </w:t>
      </w:r>
      <w:r w:rsidR="00623CB4">
        <w:rPr>
          <w:b/>
          <w:lang w:val="en-US"/>
        </w:rPr>
        <w:t>high-loss glass is 1 – 2 dB higher compared to plastic cover material.</w:t>
      </w:r>
    </w:p>
    <w:p w:rsidR="000A0405" w:rsidRPr="00894B97" w:rsidRDefault="000A0405" w:rsidP="000A0405">
      <w:pPr>
        <w:ind w:left="1418" w:hanging="1418"/>
        <w:rPr>
          <w:b/>
          <w:lang w:val="en-US"/>
        </w:rPr>
      </w:pPr>
      <w:r>
        <w:rPr>
          <w:b/>
          <w:lang w:val="en-US"/>
        </w:rPr>
        <w:t xml:space="preserve">Observation 2: </w:t>
      </w:r>
      <w:r>
        <w:rPr>
          <w:b/>
          <w:lang w:val="en-US"/>
        </w:rPr>
        <w:tab/>
        <w:t>There is n</w:t>
      </w:r>
      <w:r w:rsidRPr="00894B97">
        <w:rPr>
          <w:b/>
          <w:lang w:val="en-US"/>
        </w:rPr>
        <w:t>o significant difference in free space between 2 and 3 arrays when facing in the same direction. Single antenna</w:t>
      </w:r>
      <w:r w:rsidR="00623CB4">
        <w:rPr>
          <w:b/>
          <w:lang w:val="en-US"/>
        </w:rPr>
        <w:t xml:space="preserve"> has</w:t>
      </w:r>
      <w:r w:rsidRPr="00894B97">
        <w:rPr>
          <w:b/>
          <w:lang w:val="en-US"/>
        </w:rPr>
        <w:t xml:space="preserve"> ~1dB worse spherical performance</w:t>
      </w:r>
      <w:r>
        <w:rPr>
          <w:b/>
          <w:lang w:val="en-US"/>
        </w:rPr>
        <w:t>.</w:t>
      </w:r>
      <w:r w:rsidRPr="00894B97">
        <w:rPr>
          <w:b/>
          <w:lang w:val="en-US"/>
        </w:rPr>
        <w:t xml:space="preserve"> </w:t>
      </w:r>
    </w:p>
    <w:p w:rsidR="000A0405" w:rsidRPr="00894B97" w:rsidRDefault="000A0405" w:rsidP="000A0405">
      <w:pPr>
        <w:ind w:left="1418" w:hanging="1418"/>
        <w:rPr>
          <w:b/>
          <w:lang w:val="en-US"/>
        </w:rPr>
      </w:pPr>
      <w:r w:rsidRPr="00894B97">
        <w:rPr>
          <w:b/>
          <w:lang w:val="en-US"/>
        </w:rPr>
        <w:t xml:space="preserve">Observation 3: </w:t>
      </w:r>
      <w:r>
        <w:rPr>
          <w:b/>
          <w:lang w:val="en-US"/>
        </w:rPr>
        <w:tab/>
      </w:r>
      <w:r w:rsidRPr="00894B97">
        <w:rPr>
          <w:b/>
          <w:lang w:val="en-US"/>
        </w:rPr>
        <w:t>The same trend is seen regardless of plastic or glass cover</w:t>
      </w:r>
      <w:r>
        <w:rPr>
          <w:b/>
          <w:lang w:val="en-US"/>
        </w:rPr>
        <w:t>.</w:t>
      </w:r>
    </w:p>
    <w:p w:rsidR="000A0405" w:rsidRDefault="000A0405" w:rsidP="000A0405">
      <w:pPr>
        <w:ind w:left="1418" w:hanging="1418"/>
        <w:rPr>
          <w:b/>
          <w:lang w:val="en-US"/>
        </w:rPr>
      </w:pPr>
      <w:r w:rsidRPr="00894B97">
        <w:rPr>
          <w:b/>
          <w:lang w:val="en-US"/>
        </w:rPr>
        <w:t xml:space="preserve">Observation 4: </w:t>
      </w:r>
      <w:r>
        <w:rPr>
          <w:b/>
          <w:lang w:val="en-US"/>
        </w:rPr>
        <w:tab/>
      </w:r>
      <w:r w:rsidRPr="00894B97">
        <w:rPr>
          <w:b/>
          <w:lang w:val="en-US"/>
        </w:rPr>
        <w:t>Hand and body blockage could possibly motivate higher number of antenna arrays</w:t>
      </w:r>
      <w:r>
        <w:rPr>
          <w:b/>
          <w:lang w:val="en-US"/>
        </w:rPr>
        <w:t>.</w:t>
      </w:r>
    </w:p>
    <w:p w:rsidR="000A0405" w:rsidRPr="00D85902" w:rsidRDefault="000A0405" w:rsidP="000A0405">
      <w:pPr>
        <w:ind w:left="1418" w:hanging="1418"/>
        <w:rPr>
          <w:b/>
          <w:lang w:val="en-US"/>
        </w:rPr>
      </w:pPr>
      <w:r>
        <w:rPr>
          <w:b/>
          <w:lang w:val="en-US"/>
        </w:rPr>
        <w:t xml:space="preserve">Observation 5: </w:t>
      </w:r>
      <w:r>
        <w:rPr>
          <w:b/>
          <w:lang w:val="en-US"/>
        </w:rPr>
        <w:tab/>
        <w:t>There is a s</w:t>
      </w:r>
      <w:r w:rsidRPr="00D85902">
        <w:rPr>
          <w:b/>
          <w:lang w:val="en-US"/>
        </w:rPr>
        <w:t>ignificant improvement in spherical coverage with front + back antenna arrays</w:t>
      </w:r>
      <w:r>
        <w:rPr>
          <w:b/>
          <w:lang w:val="en-US"/>
        </w:rPr>
        <w:t xml:space="preserve"> vs. back-side arrays only.</w:t>
      </w:r>
    </w:p>
    <w:p w:rsidR="000A0405" w:rsidRPr="00894B97" w:rsidRDefault="000A0405" w:rsidP="000A0405">
      <w:pPr>
        <w:ind w:left="1418" w:hanging="1418"/>
        <w:rPr>
          <w:b/>
          <w:lang w:val="en-US"/>
        </w:rPr>
      </w:pPr>
    </w:p>
    <w:p w:rsidR="000C5567" w:rsidRPr="000A0405" w:rsidRDefault="000C5567" w:rsidP="000C5567">
      <w:pPr>
        <w:rPr>
          <w:lang w:val="en-US"/>
        </w:rPr>
      </w:pPr>
    </w:p>
    <w:p w:rsidR="00A23C09" w:rsidRDefault="00A23C09" w:rsidP="00A23C09">
      <w:pPr>
        <w:pStyle w:val="BodyText"/>
        <w:rPr>
          <w:b/>
        </w:rPr>
      </w:pP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E10660" w:rsidRPr="006C7CF9" w:rsidRDefault="00135DC0" w:rsidP="000824E1">
      <w:pPr>
        <w:pStyle w:val="references"/>
        <w:numPr>
          <w:ilvl w:val="0"/>
          <w:numId w:val="7"/>
        </w:numPr>
        <w:tabs>
          <w:tab w:val="left" w:pos="1560"/>
        </w:tabs>
      </w:pPr>
      <w:bookmarkStart w:id="9" w:name="_Ref494455962"/>
      <w:bookmarkStart w:id="10" w:name="_Ref502663340"/>
      <w:bookmarkStart w:id="11" w:name="_Ref506302287"/>
      <w:bookmarkStart w:id="12" w:name="_Ref484009661"/>
      <w:bookmarkStart w:id="13" w:name="_Ref447703865"/>
      <w:bookmarkStart w:id="14" w:name="_Ref455046197"/>
      <w:bookmarkStart w:id="15" w:name="_Ref473734040"/>
      <w:bookmarkStart w:id="16" w:name="_Ref481653652"/>
      <w:bookmarkStart w:id="17" w:name="_Ref447634836"/>
      <w:bookmarkStart w:id="18" w:name="_Ref447633816"/>
      <w:r w:rsidRPr="00135DC0">
        <w:rPr>
          <w:lang w:val="en-GB"/>
        </w:rPr>
        <w:t>R4-1</w:t>
      </w:r>
      <w:r w:rsidR="000824E1" w:rsidRPr="000824E1">
        <w:rPr>
          <w:lang w:val="en-GB"/>
        </w:rPr>
        <w:t>801202</w:t>
      </w:r>
      <w:r>
        <w:rPr>
          <w:lang w:val="en-GB"/>
        </w:rPr>
        <w:tab/>
        <w:t>“</w:t>
      </w:r>
      <w:r w:rsidR="000824E1" w:rsidRPr="000824E1">
        <w:rPr>
          <w:lang w:val="en-GB"/>
        </w:rPr>
        <w:t>WF on EIRP CDF for spherical coverage</w:t>
      </w:r>
      <w:r>
        <w:rPr>
          <w:lang w:val="en-GB"/>
        </w:rPr>
        <w:t xml:space="preserve">”, </w:t>
      </w:r>
      <w:bookmarkEnd w:id="9"/>
      <w:bookmarkEnd w:id="10"/>
      <w:r w:rsidR="000824E1">
        <w:rPr>
          <w:i/>
          <w:lang w:val="en-GB"/>
        </w:rPr>
        <w:t>Samsung MediaTek</w:t>
      </w:r>
      <w:bookmarkEnd w:id="11"/>
    </w:p>
    <w:p w:rsidR="006C7CF9" w:rsidRPr="00EA17BD" w:rsidRDefault="006C7CF9" w:rsidP="006C7CF9">
      <w:pPr>
        <w:pStyle w:val="references"/>
        <w:numPr>
          <w:ilvl w:val="0"/>
          <w:numId w:val="7"/>
        </w:numPr>
        <w:tabs>
          <w:tab w:val="left" w:pos="1560"/>
        </w:tabs>
      </w:pPr>
      <w:bookmarkStart w:id="19" w:name="_Ref506543408"/>
      <w:r w:rsidRPr="00D120CA">
        <w:t>R4-1714355</w:t>
      </w:r>
      <w:r>
        <w:tab/>
        <w:t>“</w:t>
      </w:r>
      <w:r w:rsidRPr="00D120CA">
        <w:t>WF on spherical coverage in FR2</w:t>
      </w:r>
      <w:r>
        <w:t xml:space="preserve">”, </w:t>
      </w:r>
      <w:r w:rsidRPr="00D120CA">
        <w:rPr>
          <w:i/>
          <w:lang w:val="en-GB"/>
        </w:rPr>
        <w:t>Samsung, Apple, LGE, Intel, Oppo, Xiaomi, Vivo, MediaTek</w:t>
      </w:r>
      <w:bookmarkEnd w:id="19"/>
    </w:p>
    <w:p w:rsidR="00D120CA" w:rsidRPr="00102A35" w:rsidRDefault="00102A35" w:rsidP="00102A35">
      <w:pPr>
        <w:pStyle w:val="references"/>
        <w:numPr>
          <w:ilvl w:val="0"/>
          <w:numId w:val="7"/>
        </w:numPr>
        <w:tabs>
          <w:tab w:val="left" w:pos="1560"/>
        </w:tabs>
      </w:pPr>
      <w:bookmarkStart w:id="20" w:name="_Ref502663374"/>
      <w:bookmarkStart w:id="21" w:name="_Ref506302304"/>
      <w:bookmarkStart w:id="22" w:name="_Ref494467807"/>
      <w:bookmarkStart w:id="23" w:name="_Ref492632366"/>
      <w:r w:rsidRPr="00102A35">
        <w:t>R4-1801106</w:t>
      </w:r>
      <w:r w:rsidR="00D120CA">
        <w:tab/>
        <w:t>“</w:t>
      </w:r>
      <w:r w:rsidRPr="00102A35">
        <w:t>WF peak EIRP requirement for mmW</w:t>
      </w:r>
      <w:r w:rsidR="00D120CA">
        <w:t xml:space="preserve">”, </w:t>
      </w:r>
      <w:bookmarkEnd w:id="20"/>
      <w:r w:rsidRPr="00102A35">
        <w:rPr>
          <w:i/>
          <w:lang w:val="en-GB"/>
        </w:rPr>
        <w:t>Qualcomm</w:t>
      </w:r>
      <w:bookmarkEnd w:id="21"/>
    </w:p>
    <w:p w:rsidR="006C7CF9" w:rsidRDefault="006C7CF9" w:rsidP="006C7CF9">
      <w:pPr>
        <w:pStyle w:val="references"/>
        <w:numPr>
          <w:ilvl w:val="0"/>
          <w:numId w:val="7"/>
        </w:numPr>
        <w:tabs>
          <w:tab w:val="left" w:pos="1560"/>
        </w:tabs>
      </w:pPr>
      <w:bookmarkStart w:id="24" w:name="_Ref506557062"/>
      <w:bookmarkStart w:id="25" w:name="_Ref506302471"/>
      <w:r w:rsidRPr="006C7CF9">
        <w:t xml:space="preserve">R4-1800888 </w:t>
      </w:r>
      <w:r>
        <w:tab/>
        <w:t>“</w:t>
      </w:r>
      <w:r w:rsidRPr="006C7CF9">
        <w:t>UE Spherical coverage at mmWave 28GHz</w:t>
      </w:r>
      <w:r>
        <w:t xml:space="preserve">”, </w:t>
      </w:r>
      <w:r w:rsidRPr="00102A35">
        <w:rPr>
          <w:i/>
          <w:lang w:val="en-GB"/>
        </w:rPr>
        <w:t>Sony, Ericsson</w:t>
      </w:r>
      <w:bookmarkEnd w:id="24"/>
    </w:p>
    <w:bookmarkEnd w:id="12"/>
    <w:bookmarkEnd w:id="13"/>
    <w:bookmarkEnd w:id="14"/>
    <w:bookmarkEnd w:id="15"/>
    <w:bookmarkEnd w:id="16"/>
    <w:bookmarkEnd w:id="17"/>
    <w:bookmarkEnd w:id="18"/>
    <w:bookmarkEnd w:id="22"/>
    <w:bookmarkEnd w:id="23"/>
    <w:bookmarkEnd w:id="25"/>
    <w:p w:rsidR="00D120CA" w:rsidRDefault="00AD2416" w:rsidP="00D120CA">
      <w:pPr>
        <w:pStyle w:val="references"/>
        <w:numPr>
          <w:ilvl w:val="0"/>
          <w:numId w:val="0"/>
        </w:numPr>
        <w:tabs>
          <w:tab w:val="left" w:pos="1560"/>
        </w:tabs>
        <w:ind w:left="360" w:hanging="360"/>
      </w:pPr>
      <w:r w:rsidRPr="00AD2416">
        <w:rPr>
          <w:lang w:eastAsia="ja-JP"/>
        </w:rPr>
        <mc:AlternateContent>
          <mc:Choice Requires="wps">
            <w:drawing>
              <wp:anchor distT="0" distB="0" distL="114300" distR="114300" simplePos="0" relativeHeight="251660288" behindDoc="0" locked="0" layoutInCell="1" allowOverlap="1" wp14:anchorId="6F094CC4" wp14:editId="52D2DB56">
                <wp:simplePos x="0" y="0"/>
                <wp:positionH relativeFrom="column">
                  <wp:posOffset>8864040</wp:posOffset>
                </wp:positionH>
                <wp:positionV relativeFrom="paragraph">
                  <wp:posOffset>1248978</wp:posOffset>
                </wp:positionV>
                <wp:extent cx="3247684" cy="307777"/>
                <wp:effectExtent l="0" t="0" r="0" b="0"/>
                <wp:wrapNone/>
                <wp:docPr id="5" name="TextBox 4"/>
                <wp:cNvGraphicFramePr/>
                <a:graphic xmlns:a="http://schemas.openxmlformats.org/drawingml/2006/main">
                  <a:graphicData uri="http://schemas.microsoft.com/office/word/2010/wordprocessingShape">
                    <wps:wsp>
                      <wps:cNvSpPr txBox="1"/>
                      <wps:spPr>
                        <a:xfrm>
                          <a:off x="0" y="0"/>
                          <a:ext cx="3247684" cy="307777"/>
                        </a:xfrm>
                        <a:prstGeom prst="rect">
                          <a:avLst/>
                        </a:prstGeom>
                        <a:solidFill>
                          <a:schemeClr val="bg2"/>
                        </a:solidFill>
                      </wps:spPr>
                      <wps:txbx>
                        <w:txbxContent>
                          <w:p w:rsidR="00AD2416" w:rsidRDefault="00AD2416" w:rsidP="00AD2416">
                            <w:pPr>
                              <w:pStyle w:val="NormalWeb"/>
                              <w:spacing w:before="0" w:beforeAutospacing="0" w:after="0" w:afterAutospacing="0"/>
                            </w:pPr>
                            <w:r>
                              <w:rPr>
                                <w:rFonts w:ascii="Arial" w:hAnsi="Arial" w:cstheme="minorBidi"/>
                                <w:color w:val="7F7F7F"/>
                                <w:kern w:val="24"/>
                                <w:sz w:val="40"/>
                                <w:szCs w:val="40"/>
                              </w:rPr>
                              <w:t>Refer to separate discussion</w:t>
                            </w:r>
                          </w:p>
                        </w:txbxContent>
                      </wps:txbx>
                      <wps:bodyPr vert="horz" wrap="none" lIns="0" tIns="0" rIns="0" bIns="0" rtlCol="0">
                        <a:spAutoFit/>
                      </wps:bodyPr>
                    </wps:wsp>
                  </a:graphicData>
                </a:graphic>
              </wp:anchor>
            </w:drawing>
          </mc:Choice>
          <mc:Fallback>
            <w:pict>
              <v:shapetype w14:anchorId="6F094CC4" id="_x0000_t202" coordsize="21600,21600" o:spt="202" path="m,l,21600r21600,l21600,xe">
                <v:stroke joinstyle="miter"/>
                <v:path gradientshapeok="t" o:connecttype="rect"/>
              </v:shapetype>
              <v:shape id="TextBox 4" o:spid="_x0000_s1026" type="#_x0000_t202" style="position:absolute;left:0;text-align:left;margin-left:697.95pt;margin-top:98.35pt;width:255.7pt;height:24.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" fillcolor="#e7e6e6 [3214]" stroked="f">
                <v:textbox style="mso-fit-shape-to-text:t" inset="0,0,0,0">
                  <w:txbxContent>
                    <w:p w:rsidR="00AD2416" w:rsidRDefault="00AD2416" w:rsidP="00AD2416">
                      <w:pPr>
                        <w:pStyle w:val="NormalWeb"/>
                        <w:spacing w:before="0" w:beforeAutospacing="0" w:after="0" w:afterAutospacing="0"/>
                      </w:pPr>
                      <w:r>
                        <w:rPr>
                          <w:rFonts w:ascii="Arial" w:hAnsi="Arial" w:cstheme="minorBidi"/>
                          <w:color w:val="7F7F7F"/>
                          <w:kern w:val="24"/>
                          <w:sz w:val="40"/>
                          <w:szCs w:val="40"/>
                        </w:rPr>
                        <w:t>Refer to separate discussion</w:t>
                      </w:r>
                    </w:p>
                  </w:txbxContent>
                </v:textbox>
              </v:shape>
            </w:pict>
          </mc:Fallback>
        </mc:AlternateContent>
      </w: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70E" w:rsidRDefault="009A470E">
      <w:r>
        <w:separator/>
      </w:r>
    </w:p>
  </w:endnote>
  <w:endnote w:type="continuationSeparator" w:id="0">
    <w:p w:rsidR="009A470E" w:rsidRDefault="009A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70E" w:rsidRDefault="009A470E">
      <w:r>
        <w:separator/>
      </w:r>
    </w:p>
  </w:footnote>
  <w:footnote w:type="continuationSeparator" w:id="0">
    <w:p w:rsidR="009A470E" w:rsidRDefault="009A4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DF0729D"/>
    <w:multiLevelType w:val="hybridMultilevel"/>
    <w:tmpl w:val="9F8AE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7"/>
  </w:num>
  <w:num w:numId="5">
    <w:abstractNumId w:val="4"/>
  </w:num>
  <w:num w:numId="6">
    <w:abstractNumId w:val="17"/>
  </w:num>
  <w:num w:numId="7">
    <w:abstractNumId w:val="24"/>
  </w:num>
  <w:num w:numId="8">
    <w:abstractNumId w:val="1"/>
  </w:num>
  <w:num w:numId="9">
    <w:abstractNumId w:val="19"/>
  </w:num>
  <w:num w:numId="10">
    <w:abstractNumId w:val="16"/>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8"/>
  </w:num>
  <w:num w:numId="16">
    <w:abstractNumId w:val="12"/>
  </w:num>
  <w:num w:numId="17">
    <w:abstractNumId w:val="10"/>
  </w:num>
  <w:num w:numId="18">
    <w:abstractNumId w:val="1"/>
  </w:num>
  <w:num w:numId="19">
    <w:abstractNumId w:val="23"/>
  </w:num>
  <w:num w:numId="20">
    <w:abstractNumId w:val="5"/>
  </w:num>
  <w:num w:numId="21">
    <w:abstractNumId w:val="8"/>
  </w:num>
  <w:num w:numId="22">
    <w:abstractNumId w:val="15"/>
  </w:num>
  <w:num w:numId="23">
    <w:abstractNumId w:val="17"/>
  </w:num>
  <w:num w:numId="24">
    <w:abstractNumId w:val="22"/>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4"/>
  </w:num>
  <w:num w:numId="41">
    <w:abstractNumId w:val="20"/>
  </w:num>
  <w:num w:numId="42">
    <w:abstractNumId w:val="1"/>
  </w:num>
  <w:num w:numId="43">
    <w:abstractNumId w:val="1"/>
  </w:num>
  <w:num w:numId="44">
    <w:abstractNumId w:val="1"/>
  </w:num>
  <w:num w:numId="45">
    <w:abstractNumId w:val="11"/>
  </w:num>
  <w:num w:numId="46">
    <w:abstractNumId w:val="1"/>
  </w:num>
  <w:num w:numId="47">
    <w:abstractNumId w:val="1"/>
  </w:num>
  <w:num w:numId="48">
    <w:abstractNumId w:val="1"/>
  </w:num>
  <w:num w:numId="4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867"/>
    <w:rsid w:val="004119AE"/>
    <w:rsid w:val="00411CC0"/>
    <w:rsid w:val="00411FE9"/>
    <w:rsid w:val="004121D6"/>
    <w:rsid w:val="004128BD"/>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70E"/>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431C-B4BB-4F82-832D-325955CD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8</cp:revision>
  <cp:lastPrinted>2017-08-10T13:20:00Z</cp:lastPrinted>
  <dcterms:created xsi:type="dcterms:W3CDTF">2018-02-19T15:02:00Z</dcterms:created>
  <dcterms:modified xsi:type="dcterms:W3CDTF">2018-02-19T16:05:00Z</dcterms:modified>
</cp:coreProperties>
</file>